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岳阳市自然资源和规划局南湖新区分局2021年度单位预算公开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36"/>
                <w:szCs w:val="36"/>
                <w:u w:val="none"/>
              </w:rPr>
            </w:pPr>
            <w:r>
              <w:rPr>
                <w:rFonts w:hint="eastAsia" w:ascii="黑体" w:hAnsi="宋体" w:eastAsia="黑体" w:cs="黑体"/>
                <w:i w:val="0"/>
                <w:iCs w:val="0"/>
                <w:color w:val="000000"/>
                <w:kern w:val="0"/>
                <w:sz w:val="36"/>
                <w:szCs w:val="36"/>
                <w:u w:val="none"/>
                <w:lang w:val="en-US" w:eastAsia="zh-CN" w:bidi="ar"/>
              </w:rPr>
              <w:t>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8"/>
                <w:szCs w:val="28"/>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第一部分  2021年单位预算说明</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第二部分  单位预算公开表格</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一、收支总表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二、收入总表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三、支出总表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六、财政拨款收支总表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七、一般公共预算支出表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十四、一般公共预算“三公”经费支出表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十五、政府性基金预算支出表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十八、国有资产经营预算支出表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二十一、支出预算项目明细表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二十三、部门(单位)整体支出预算绩效目标申报表</w:t>
            </w:r>
          </w:p>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cs="仿宋_GB2312"/>
                <w:i w:val="0"/>
                <w:iCs w:val="0"/>
                <w:color w:val="000000"/>
                <w:kern w:val="0"/>
                <w:sz w:val="28"/>
                <w:szCs w:val="28"/>
                <w:u w:val="none"/>
                <w:lang w:val="en-US" w:eastAsia="zh-CN" w:bidi="ar"/>
              </w:rPr>
              <w:t>二十四、一般公共预算基本支出总表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注：以上单位预算公开报表中，空表表示本单位无相关收支情况。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36"/>
                <w:szCs w:val="36"/>
                <w:u w:val="none"/>
              </w:rPr>
            </w:pPr>
            <w:r>
              <w:rPr>
                <w:rFonts w:hint="eastAsia" w:ascii="黑体" w:hAnsi="宋体" w:eastAsia="黑体" w:cs="黑体"/>
                <w:i w:val="0"/>
                <w:iCs w:val="0"/>
                <w:color w:val="000000"/>
                <w:kern w:val="0"/>
                <w:sz w:val="36"/>
                <w:szCs w:val="36"/>
                <w:u w:val="none"/>
                <w:lang w:val="en-US" w:eastAsia="zh-CN" w:bidi="ar"/>
              </w:rPr>
              <w:t>第一部分    2021年单位预算说明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一、单位基本概况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（一）职能职责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ind w:firstLine="560" w:firstLineChars="200"/>
              <w:rPr>
                <w:rFonts w:ascii="仿宋" w:hAnsi="仿宋" w:eastAsia="仿宋" w:cs="方正仿宋简体"/>
                <w:sz w:val="32"/>
                <w:szCs w:val="32"/>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 w:hAnsi="仿宋" w:eastAsia="仿宋" w:cs="方正仿宋简体"/>
                <w:sz w:val="32"/>
                <w:szCs w:val="32"/>
              </w:rPr>
              <w:t>1.依法履行全民所有土地、矿产、森林、草地、湿地、水等自然资源资产所有者职责和国土空间用途管制职责。参与拟订自然资源和国土空间规划、测绘等地方性法规草案、政府规章及相关规定，依法组织实施和监督检查。</w:t>
            </w:r>
          </w:p>
          <w:p>
            <w:pPr>
              <w:ind w:firstLine="640"/>
              <w:rPr>
                <w:rFonts w:ascii="仿宋" w:hAnsi="仿宋" w:eastAsia="仿宋" w:cs="方正仿宋简体"/>
                <w:sz w:val="32"/>
                <w:szCs w:val="32"/>
              </w:rPr>
            </w:pPr>
            <w:r>
              <w:rPr>
                <w:rFonts w:hint="eastAsia" w:ascii="仿宋" w:hAnsi="仿宋" w:eastAsia="仿宋" w:cs="方正仿宋简体"/>
                <w:sz w:val="32"/>
                <w:szCs w:val="32"/>
              </w:rPr>
              <w:t>2.负责自然资源调查监测评价。依照自然资源调查监测评价指标体系、统计标准，实施自然资源基础调查、专项调查和监测。负责自然资源调查监测评价成果的监督管理和信息发布。</w:t>
            </w:r>
          </w:p>
          <w:p>
            <w:pPr>
              <w:ind w:firstLine="640" w:firstLineChars="200"/>
              <w:rPr>
                <w:rFonts w:ascii="仿宋" w:hAnsi="仿宋" w:eastAsia="仿宋" w:cs="方正仿宋简体"/>
                <w:sz w:val="32"/>
                <w:szCs w:val="32"/>
              </w:rPr>
            </w:pPr>
            <w:r>
              <w:rPr>
                <w:rFonts w:hint="eastAsia" w:ascii="仿宋" w:hAnsi="仿宋" w:eastAsia="仿宋" w:cs="方正仿宋简体"/>
                <w:sz w:val="32"/>
                <w:szCs w:val="32"/>
              </w:rPr>
              <w:t>3.执行各类自然资源和不动产统一确权登记、权籍调查、测绘、信息、争议调处、成果应用等制度。</w:t>
            </w:r>
          </w:p>
          <w:p>
            <w:pPr>
              <w:ind w:firstLine="648"/>
              <w:rPr>
                <w:rFonts w:ascii="仿宋" w:hAnsi="仿宋" w:eastAsia="仿宋" w:cs="方正仿宋简体"/>
                <w:sz w:val="32"/>
                <w:szCs w:val="32"/>
              </w:rPr>
            </w:pPr>
            <w:r>
              <w:rPr>
                <w:rFonts w:hint="eastAsia" w:ascii="仿宋" w:hAnsi="仿宋" w:eastAsia="仿宋" w:cs="方正仿宋简体"/>
                <w:sz w:val="32"/>
                <w:szCs w:val="32"/>
              </w:rPr>
              <w:t>4.负责自然资源资产有偿使用工作。贯彻执行全民所有自然资源资产统计制度，负责全民所有自然资源资产核算。执行全民所有自然资源资产划拨、出让、租赁、作价出资和土地储备政策，合理配置全民所有自然资源资产。负责自然资源资产价值评估管理。</w:t>
            </w:r>
          </w:p>
          <w:p>
            <w:pPr>
              <w:rPr>
                <w:rFonts w:ascii="仿宋" w:hAnsi="仿宋" w:eastAsia="仿宋" w:cs="方正仿宋简体"/>
                <w:sz w:val="32"/>
                <w:szCs w:val="32"/>
              </w:rPr>
            </w:pPr>
            <w:r>
              <w:rPr>
                <w:rFonts w:hint="eastAsia" w:ascii="仿宋" w:hAnsi="仿宋" w:eastAsia="仿宋" w:cs="方正仿宋简体"/>
                <w:sz w:val="32"/>
                <w:szCs w:val="32"/>
              </w:rPr>
              <w:t xml:space="preserve">    5.负责自然资源的合理开发利用。严格执行国家、省、市有关自然资源合理开发利用的政策规定。参与建立政府公示自然资源价格体系，参与自然资源分等定级价格评估，开展自然资源利用评价考核和节约集约利用。承办自然资源市场监督管理和动态监测。</w:t>
            </w:r>
          </w:p>
          <w:p>
            <w:pPr>
              <w:ind w:firstLine="648"/>
              <w:rPr>
                <w:rFonts w:ascii="仿宋" w:hAnsi="仿宋" w:eastAsia="仿宋" w:cs="方正仿宋简体"/>
                <w:sz w:val="32"/>
                <w:szCs w:val="32"/>
              </w:rPr>
            </w:pPr>
            <w:r>
              <w:rPr>
                <w:rFonts w:hint="eastAsia" w:ascii="仿宋" w:hAnsi="仿宋" w:eastAsia="仿宋" w:cs="方正仿宋简体"/>
                <w:sz w:val="32"/>
                <w:szCs w:val="32"/>
              </w:rPr>
              <w:t>6.参与建立国土空间规划体系并监督实施。参与编制国土空间总体规划和相关专项规划；负责国土空间规划实施管理；组织具体承办生态保护红线、永久基本农田、城镇开发边界等控制红线，构建节约资源和自然和谐的生产、生活、生态空间布局；贯彻执行国土空间用途管制制度；负责承办土地等国土空间用途转用和土地征收征用管理工作，贯彻执行集体土地征收和房屋拆迁补偿安置政策；做好国有土地使用权收回相关工作；具体承办工业建设项目选址意见书、建设用地规划许可证、建设工程规划许可证（以下简称“一书两证”）和乡村建设规划许可证的核发，负责除工业项目以外其他建设项目“一书两证”的初审。</w:t>
            </w:r>
          </w:p>
          <w:p>
            <w:pPr>
              <w:ind w:firstLine="648"/>
              <w:rPr>
                <w:rFonts w:ascii="仿宋" w:hAnsi="仿宋" w:eastAsia="仿宋" w:cs="方正仿宋简体"/>
                <w:sz w:val="32"/>
                <w:szCs w:val="32"/>
              </w:rPr>
            </w:pPr>
            <w:r>
              <w:rPr>
                <w:rFonts w:hint="eastAsia" w:ascii="仿宋" w:hAnsi="仿宋" w:eastAsia="仿宋" w:cs="方正仿宋简体"/>
                <w:sz w:val="32"/>
                <w:szCs w:val="32"/>
              </w:rPr>
              <w:t>7.负责拟定辖区内近期建设规划；制定辖区内土地利用、矿产资源保护利用、基础测绘、新增建设用地等年度计划，并组织实施。</w:t>
            </w:r>
          </w:p>
          <w:p>
            <w:pPr>
              <w:ind w:firstLine="648"/>
              <w:rPr>
                <w:rFonts w:ascii="仿宋" w:hAnsi="仿宋" w:eastAsia="仿宋" w:cs="方正仿宋简体"/>
                <w:sz w:val="32"/>
                <w:szCs w:val="32"/>
              </w:rPr>
            </w:pPr>
            <w:r>
              <w:rPr>
                <w:rFonts w:hint="eastAsia" w:ascii="仿宋" w:hAnsi="仿宋" w:eastAsia="仿宋" w:cs="方正仿宋简体"/>
                <w:sz w:val="32"/>
                <w:szCs w:val="32"/>
              </w:rPr>
              <w:t>8.负责统筹辖区内国土空间生态修复。牵头组织编制辖区内国土空间生态修复规划并实施有关生态修复重大工程。负责国土空间综合整治、土地整理复垦、矿山地质环境修复治理、统筹山水林田湖草生态系统修复治理等工作。牵头建立和实施生态保护补偿制度，执行合理利用社会资金进行生态修复的政策措施，并提出区级重大备选项目。</w:t>
            </w:r>
          </w:p>
          <w:p>
            <w:pPr>
              <w:ind w:firstLine="640" w:firstLineChars="200"/>
              <w:rPr>
                <w:rFonts w:ascii="仿宋" w:hAnsi="仿宋" w:eastAsia="仿宋"/>
                <w:sz w:val="32"/>
                <w:szCs w:val="32"/>
              </w:rPr>
            </w:pPr>
            <w:r>
              <w:rPr>
                <w:rFonts w:hint="eastAsia" w:ascii="仿宋" w:hAnsi="仿宋" w:eastAsia="仿宋" w:cs="方正仿宋简体"/>
                <w:sz w:val="32"/>
                <w:szCs w:val="32"/>
              </w:rPr>
              <w:t>9.负责组织实施辖区内最严格的耕地保护制度。牵头实施耕地保护政策，负责耕地数量和生态保护，做好耕地质量保护相关工作。组织实施辖区内耕地保护责任目标考核和永久基本农田特殊保护。负责耕地占补平衡管理，落实占用耕地补偿制度，监督占用耕地补偿制度执行情况</w:t>
            </w:r>
            <w:r>
              <w:rPr>
                <w:rFonts w:hint="eastAsia" w:ascii="仿宋" w:hAnsi="仿宋" w:eastAsia="仿宋"/>
                <w:sz w:val="32"/>
                <w:szCs w:val="32"/>
              </w:rPr>
              <w:t>。</w:t>
            </w:r>
          </w:p>
          <w:p>
            <w:pPr>
              <w:ind w:firstLine="640"/>
              <w:rPr>
                <w:rFonts w:ascii="仿宋" w:hAnsi="仿宋" w:eastAsia="仿宋" w:cs="方正仿宋简体"/>
                <w:sz w:val="32"/>
                <w:szCs w:val="32"/>
              </w:rPr>
            </w:pPr>
            <w:r>
              <w:rPr>
                <w:rFonts w:hint="eastAsia" w:ascii="仿宋" w:hAnsi="仿宋" w:eastAsia="仿宋" w:cs="方正仿宋简体"/>
                <w:sz w:val="32"/>
                <w:szCs w:val="32"/>
              </w:rPr>
              <w:t>10.负责辖区内地质灾害预防和治理。组织编制地质灾害防治方案和应急预案。组织协调地质灾害调查评价，承担地质灾害预报预警工作，监督地质灾害工程治理工作。</w:t>
            </w:r>
          </w:p>
          <w:p>
            <w:pPr>
              <w:ind w:firstLine="648"/>
              <w:rPr>
                <w:rFonts w:ascii="仿宋" w:hAnsi="仿宋" w:eastAsia="仿宋" w:cs="方正仿宋简体"/>
                <w:sz w:val="32"/>
                <w:szCs w:val="32"/>
              </w:rPr>
            </w:pPr>
            <w:r>
              <w:rPr>
                <w:rFonts w:hint="eastAsia" w:ascii="仿宋" w:hAnsi="仿宋" w:eastAsia="仿宋" w:cs="方正仿宋简体"/>
                <w:sz w:val="32"/>
                <w:szCs w:val="32"/>
              </w:rPr>
              <w:t>11.负责辖区内矿产资源开发管理。负责矿业权管理。会同有关部门承担保护性开采的特定矿种、优势矿产的调控及相关管理工作。监督指导矿产资源合理利用和保护。</w:t>
            </w:r>
          </w:p>
          <w:p>
            <w:pPr>
              <w:ind w:firstLine="648"/>
              <w:rPr>
                <w:rFonts w:ascii="仿宋" w:hAnsi="仿宋" w:eastAsia="仿宋" w:cs="方正仿宋简体"/>
                <w:sz w:val="32"/>
                <w:szCs w:val="32"/>
              </w:rPr>
            </w:pPr>
            <w:r>
              <w:rPr>
                <w:rFonts w:hint="eastAsia" w:ascii="仿宋" w:hAnsi="仿宋" w:eastAsia="仿宋" w:cs="方正仿宋简体"/>
                <w:sz w:val="32"/>
                <w:szCs w:val="32"/>
              </w:rPr>
              <w:t>12.负责辖区内测绘地理信息管理工作。负责辖区内基础测绘、地图管理、地理信息公共服务工作；监督管理地类信息安全；负责测量标志保护。</w:t>
            </w:r>
          </w:p>
          <w:p>
            <w:pPr>
              <w:ind w:firstLine="640" w:firstLineChars="200"/>
              <w:rPr>
                <w:rFonts w:ascii="仿宋" w:hAnsi="仿宋" w:eastAsia="仿宋" w:cs="方正仿宋简体"/>
                <w:sz w:val="32"/>
                <w:szCs w:val="32"/>
              </w:rPr>
            </w:pPr>
            <w:r>
              <w:rPr>
                <w:rFonts w:hint="eastAsia" w:ascii="仿宋" w:hAnsi="仿宋" w:eastAsia="仿宋" w:cs="方正仿宋简体"/>
                <w:sz w:val="32"/>
                <w:szCs w:val="32"/>
              </w:rPr>
              <w:t>13.</w:t>
            </w:r>
            <w:r>
              <w:rPr>
                <w:rFonts w:hint="eastAsia" w:ascii="仿宋" w:hAnsi="仿宋" w:eastAsia="仿宋" w:cs="仿宋"/>
                <w:sz w:val="32"/>
                <w:szCs w:val="32"/>
              </w:rPr>
              <w:t>根据授权具体承办辖区内违反自然资源和规划法律法规规章的调查取证工作</w:t>
            </w:r>
            <w:r>
              <w:rPr>
                <w:rFonts w:hint="eastAsia" w:ascii="仿宋" w:hAnsi="仿宋" w:eastAsia="仿宋" w:cs="方正仿宋简体"/>
                <w:sz w:val="32"/>
                <w:szCs w:val="32"/>
              </w:rPr>
              <w:t>。负责辖区内涉及自然资源和规划管理事项的信访处理工作。</w:t>
            </w:r>
          </w:p>
          <w:p>
            <w:pPr>
              <w:ind w:firstLine="648"/>
              <w:rPr>
                <w:rFonts w:ascii="仿宋" w:hAnsi="仿宋" w:eastAsia="仿宋" w:cs="方正仿宋简体"/>
                <w:sz w:val="32"/>
                <w:szCs w:val="32"/>
              </w:rPr>
            </w:pPr>
            <w:r>
              <w:rPr>
                <w:rFonts w:hint="eastAsia" w:ascii="仿宋" w:hAnsi="仿宋" w:eastAsia="仿宋" w:cs="方正仿宋简体"/>
                <w:sz w:val="32"/>
                <w:szCs w:val="32"/>
              </w:rPr>
              <w:t>14.完成上级交办的其他事项。</w:t>
            </w:r>
          </w:p>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（二）机构设置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ind w:firstLine="640" w:firstLineChars="200"/>
              <w:rPr>
                <w:rFonts w:ascii="仿宋" w:hAnsi="仿宋" w:eastAsia="仿宋" w:cs="仿宋"/>
                <w:sz w:val="32"/>
                <w:szCs w:val="32"/>
              </w:rPr>
            </w:pPr>
            <w:r>
              <w:rPr>
                <w:rFonts w:hint="eastAsia" w:ascii="仿宋" w:hAnsi="仿宋" w:eastAsia="仿宋" w:cs="仿宋"/>
                <w:sz w:val="32"/>
                <w:szCs w:val="32"/>
              </w:rPr>
              <w:t>1.内设股室。分局内设8个股室、1个执法大队，分别为：办公室、调查确权股（加挂行政审批办牌子）、国土空间用途管制股、自然资源所有者权益股、国土空间规划股、工程管理股、自然资源保护利用股、地灾矿管和生态修复股、执法监察大队。</w:t>
            </w:r>
          </w:p>
          <w:p>
            <w:pPr>
              <w:widowControl/>
              <w:spacing w:line="600" w:lineRule="exact"/>
              <w:ind w:firstLine="640" w:firstLineChars="200"/>
              <w:rPr>
                <w:rFonts w:hint="eastAsia" w:ascii="仿宋" w:hAnsi="仿宋" w:eastAsia="仿宋"/>
                <w:sz w:val="32"/>
                <w:szCs w:val="32"/>
              </w:rPr>
            </w:pPr>
            <w:r>
              <w:rPr>
                <w:rFonts w:hint="eastAsia" w:ascii="仿宋" w:hAnsi="仿宋" w:eastAsia="仿宋" w:cs="仿宋"/>
                <w:sz w:val="32"/>
                <w:szCs w:val="32"/>
              </w:rPr>
              <w:t>2.下设机构。岳阳市自然资源和规划局南湖新区分局自然资源事务所为</w:t>
            </w:r>
            <w:r>
              <w:rPr>
                <w:rFonts w:hint="eastAsia" w:ascii="仿宋" w:hAnsi="仿宋" w:eastAsia="仿宋"/>
                <w:sz w:val="32"/>
                <w:szCs w:val="32"/>
              </w:rPr>
              <w:t>副科级公益二类事业单位</w:t>
            </w:r>
            <w:r>
              <w:rPr>
                <w:rFonts w:hint="eastAsia" w:ascii="仿宋" w:hAnsi="仿宋" w:eastAsia="仿宋"/>
                <w:sz w:val="32"/>
                <w:szCs w:val="32"/>
                <w:lang w:eastAsia="zh-CN"/>
              </w:rPr>
              <w:t>，非财务独立核算</w:t>
            </w:r>
            <w:r>
              <w:rPr>
                <w:rFonts w:hint="eastAsia" w:ascii="仿宋" w:hAnsi="仿宋" w:eastAsia="仿宋"/>
                <w:sz w:val="32"/>
                <w:szCs w:val="32"/>
              </w:rPr>
              <w:t>。</w:t>
            </w:r>
          </w:p>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二、单位收支总体情况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8"/>
                <w:szCs w:val="28"/>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 xml:space="preserve">    </w:t>
            </w:r>
            <w:r>
              <w:rPr>
                <w:rFonts w:hint="eastAsia" w:ascii="仿宋_GB2312" w:hAnsi="宋体" w:cs="仿宋_GB2312"/>
                <w:i w:val="0"/>
                <w:iCs w:val="0"/>
                <w:color w:val="000000"/>
                <w:kern w:val="0"/>
                <w:sz w:val="28"/>
                <w:szCs w:val="28"/>
                <w:u w:val="none"/>
                <w:lang w:val="en-US" w:eastAsia="zh-CN" w:bidi="ar"/>
              </w:rPr>
              <w:t>本单位为二级预算单位，没有预算独立、财务独立核算的下属预算单位，因此纳入2021年部门预算公开范围的为本单位本级预算。</w:t>
            </w:r>
          </w:p>
          <w:p>
            <w:pPr>
              <w:keepNext w:val="0"/>
              <w:keepLines w:val="0"/>
              <w:widowControl/>
              <w:suppressLineNumbers w:val="0"/>
              <w:ind w:firstLine="560" w:firstLineChars="2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（一）收入预算</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 xml:space="preserve">    包括一般公共预算、政府性基金、国有资本经营预算等财政拨款收入，以及经营收入、事业收入等单位资金。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2021年本单位收入预算368.06万元，其中，一般公共预算拨款368.06万元，政府性基金预算拨款0.00万元（所以公开的附件15-17为空表），国有资本经营预算拨款0.00万元（所以公开的附件18为空表），财政专户管理资金0.00万元（所以公开的附件19-20为空表），上级补助收入0.00万元，事业单位经营收入0.00万元，其他收入0.00万元，上年结转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 xml:space="preserve"> 收入较去年增加47.67万元，增幅14.9%，原因是</w:t>
            </w:r>
            <w:r>
              <w:rPr>
                <w:rFonts w:hint="eastAsia" w:ascii="仿宋_GB2312" w:hAnsi="宋体" w:cs="仿宋_GB2312"/>
                <w:i w:val="0"/>
                <w:iCs w:val="0"/>
                <w:color w:val="auto"/>
                <w:kern w:val="0"/>
                <w:sz w:val="28"/>
                <w:szCs w:val="28"/>
                <w:u w:val="none"/>
                <w:lang w:val="en-US" w:eastAsia="zh-CN" w:bidi="ar"/>
              </w:rPr>
              <w:t>人员编制增加、自然资源事务专项收入增加。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（二）支出预算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2021年本单位支出预算368.06万元，其中，社会保障和就业支出15.75万元，卫生健康支出10.18万元，城乡社区支出118.41万元，自然资源海洋气象等支出213.00万元，住房保障支出10.72万元。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 xml:space="preserve"> 支出较去年增加47.67万元，其中基本支出较去年增加14.67万元，原因是人员</w:t>
            </w:r>
            <w:r>
              <w:rPr>
                <w:rFonts w:hint="eastAsia" w:ascii="仿宋_GB2312" w:hAnsi="宋体" w:cs="仿宋_GB2312"/>
                <w:i w:val="0"/>
                <w:iCs w:val="0"/>
                <w:color w:val="auto"/>
                <w:kern w:val="0"/>
                <w:sz w:val="28"/>
                <w:szCs w:val="28"/>
                <w:u w:val="none"/>
                <w:lang w:val="en-US" w:eastAsia="zh-CN" w:bidi="ar"/>
              </w:rPr>
              <w:t>编制增加</w:t>
            </w:r>
            <w:r>
              <w:rPr>
                <w:rFonts w:hint="eastAsia" w:ascii="仿宋_GB2312" w:hAnsi="宋体" w:eastAsia="仿宋_GB2312" w:cs="仿宋_GB2312"/>
                <w:i w:val="0"/>
                <w:iCs w:val="0"/>
                <w:color w:val="auto"/>
                <w:kern w:val="0"/>
                <w:sz w:val="28"/>
                <w:szCs w:val="28"/>
                <w:u w:val="none"/>
                <w:lang w:val="en-US" w:eastAsia="zh-CN" w:bidi="ar"/>
              </w:rPr>
              <w:t>；项目支出较去年增加33万元，原因是</w:t>
            </w:r>
            <w:r>
              <w:rPr>
                <w:rFonts w:hint="eastAsia" w:ascii="仿宋_GB2312" w:hAnsi="宋体" w:cs="仿宋_GB2312"/>
                <w:i w:val="0"/>
                <w:iCs w:val="0"/>
                <w:color w:val="auto"/>
                <w:kern w:val="0"/>
                <w:sz w:val="28"/>
                <w:szCs w:val="28"/>
                <w:u w:val="none"/>
                <w:lang w:val="en-US" w:eastAsia="zh-CN" w:bidi="ar"/>
              </w:rPr>
              <w:t>增加了自然资源事务专项支出</w:t>
            </w:r>
            <w:r>
              <w:rPr>
                <w:rFonts w:hint="eastAsia" w:ascii="仿宋_GB2312" w:hAnsi="宋体" w:eastAsia="仿宋_GB2312" w:cs="仿宋_GB2312"/>
                <w:i w:val="0"/>
                <w:iCs w:val="0"/>
                <w:color w:val="auto"/>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三、一般公共预算拨款支出预算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2021年一般公共预算拨款支出预算368.06万元，其中，社会保障和就业支出15.75万元，占4.3%，卫生健康支出10.18万元，占2.8%，城乡社区支出118.41万元，占32.2%，自然资源海洋气象等支出213.00万元，占57.9%，住房保障支出10.72万元，占2.9%。具体安排情况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一）基本支出：2021年基本支出年初预算数为155.06万元，是指为保障单位机构正常运转、完成日常工作任务而发生的各项支出，包括用于基本工资、津贴补贴等人员经费以及办公费、印刷费、水电费、差旅费等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二）项目支出：2021年项目支出年初预算数为213.00万元，是指单位为完成特定行政工作任务或事业发展目标而发生的支出，包括有关业务工作经费、运行维护经费等。其中包括违法用地办案费6.00万元、自然资源事务所专项支出207.00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四、政府性基金预算支出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2021年度本单位无政府性基金安排的支出，所以公开的附件15-17为空。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五、其他重要事项的情况说明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（一）机关运行经费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本单位2021年机关运行经费当年一般公共预算拨款29.07万元。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较去年增加1.66万元，增幅6.1%，原因是</w:t>
            </w:r>
            <w:r>
              <w:rPr>
                <w:rFonts w:hint="eastAsia" w:ascii="仿宋_GB2312" w:hAnsi="宋体" w:cs="仿宋_GB2312"/>
                <w:i w:val="0"/>
                <w:iCs w:val="0"/>
                <w:color w:val="auto"/>
                <w:kern w:val="0"/>
                <w:sz w:val="28"/>
                <w:szCs w:val="28"/>
                <w:u w:val="none"/>
                <w:lang w:val="en-US" w:eastAsia="zh-CN" w:bidi="ar"/>
              </w:rPr>
              <w:t>增加了在编人员。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（二）“三公”经费预算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本单位2021年“三公”经费预算数24.00万元，其中公务接待费16.00万元，因公出国（境）费0.00万元，公务用车购置及运行费等8.00万元（其中公务用车购置费0.00万元，公务用车运行费8.00万元）。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比上一年减少</w:t>
            </w:r>
            <w:r>
              <w:rPr>
                <w:rFonts w:hint="eastAsia" w:ascii="仿宋_GB2312" w:hAnsi="宋体" w:cs="仿宋_GB2312"/>
                <w:i w:val="0"/>
                <w:iCs w:val="0"/>
                <w:color w:val="auto"/>
                <w:kern w:val="0"/>
                <w:sz w:val="28"/>
                <w:szCs w:val="28"/>
                <w:u w:val="none"/>
                <w:lang w:val="en-US" w:eastAsia="zh-CN" w:bidi="ar"/>
              </w:rPr>
              <w:t>4</w:t>
            </w:r>
            <w:r>
              <w:rPr>
                <w:rFonts w:hint="eastAsia" w:ascii="仿宋_GB2312" w:hAnsi="宋体" w:eastAsia="仿宋_GB2312" w:cs="仿宋_GB2312"/>
                <w:i w:val="0"/>
                <w:iCs w:val="0"/>
                <w:color w:val="auto"/>
                <w:kern w:val="0"/>
                <w:sz w:val="28"/>
                <w:szCs w:val="28"/>
                <w:u w:val="none"/>
                <w:lang w:val="en-US" w:eastAsia="zh-CN" w:bidi="ar"/>
              </w:rPr>
              <w:t>万元，降低</w:t>
            </w:r>
            <w:r>
              <w:rPr>
                <w:rFonts w:hint="eastAsia" w:ascii="仿宋_GB2312" w:hAnsi="宋体" w:cs="仿宋_GB2312"/>
                <w:i w:val="0"/>
                <w:iCs w:val="0"/>
                <w:color w:val="auto"/>
                <w:kern w:val="0"/>
                <w:sz w:val="28"/>
                <w:szCs w:val="28"/>
                <w:u w:val="none"/>
                <w:lang w:val="en-US" w:eastAsia="zh-CN" w:bidi="ar"/>
              </w:rPr>
              <w:t>14.3</w:t>
            </w:r>
            <w:bookmarkStart w:id="0" w:name="_GoBack"/>
            <w:bookmarkEnd w:id="0"/>
            <w:r>
              <w:rPr>
                <w:rFonts w:hint="eastAsia" w:ascii="仿宋_GB2312" w:hAnsi="宋体" w:eastAsia="仿宋_GB2312" w:cs="仿宋_GB2312"/>
                <w:i w:val="0"/>
                <w:iCs w:val="0"/>
                <w:color w:val="auto"/>
                <w:kern w:val="0"/>
                <w:sz w:val="28"/>
                <w:szCs w:val="28"/>
                <w:u w:val="none"/>
                <w:lang w:val="en-US" w:eastAsia="zh-CN" w:bidi="ar"/>
              </w:rPr>
              <w:t>%，主要原因是</w:t>
            </w:r>
            <w:r>
              <w:rPr>
                <w:rFonts w:hint="eastAsia" w:ascii="仿宋_GB2312" w:hAnsi="宋体" w:cs="仿宋_GB2312"/>
                <w:i w:val="0"/>
                <w:iCs w:val="0"/>
                <w:color w:val="auto"/>
                <w:kern w:val="0"/>
                <w:sz w:val="28"/>
                <w:szCs w:val="28"/>
                <w:u w:val="none"/>
                <w:lang w:val="en-US" w:eastAsia="zh-CN" w:bidi="ar"/>
              </w:rPr>
              <w:t>贯彻厉行节约财政紧缩政策。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（三）一般性支出情况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本单位2021年会议费预算0.50万元，拟召开</w:t>
            </w:r>
            <w:r>
              <w:rPr>
                <w:rFonts w:hint="eastAsia" w:ascii="仿宋_GB2312" w:hAnsi="宋体" w:cs="仿宋_GB2312"/>
                <w:i w:val="0"/>
                <w:iCs w:val="0"/>
                <w:color w:val="auto"/>
                <w:kern w:val="0"/>
                <w:sz w:val="28"/>
                <w:szCs w:val="28"/>
                <w:u w:val="none"/>
                <w:lang w:val="en-US" w:eastAsia="zh-CN" w:bidi="ar"/>
              </w:rPr>
              <w:t>5</w:t>
            </w:r>
            <w:r>
              <w:rPr>
                <w:rFonts w:hint="eastAsia" w:ascii="仿宋_GB2312" w:hAnsi="宋体" w:eastAsia="仿宋_GB2312" w:cs="仿宋_GB2312"/>
                <w:i w:val="0"/>
                <w:iCs w:val="0"/>
                <w:color w:val="auto"/>
                <w:kern w:val="0"/>
                <w:sz w:val="28"/>
                <w:szCs w:val="28"/>
                <w:u w:val="none"/>
                <w:lang w:val="en-US" w:eastAsia="zh-CN" w:bidi="ar"/>
              </w:rPr>
              <w:t>次会议，人数</w:t>
            </w:r>
            <w:r>
              <w:rPr>
                <w:rFonts w:hint="eastAsia" w:ascii="仿宋_GB2312" w:hAnsi="宋体" w:cs="仿宋_GB2312"/>
                <w:i w:val="0"/>
                <w:iCs w:val="0"/>
                <w:color w:val="auto"/>
                <w:kern w:val="0"/>
                <w:sz w:val="28"/>
                <w:szCs w:val="28"/>
                <w:u w:val="none"/>
                <w:lang w:val="en-US" w:eastAsia="zh-CN" w:bidi="ar"/>
              </w:rPr>
              <w:t>50</w:t>
            </w:r>
            <w:r>
              <w:rPr>
                <w:rFonts w:hint="eastAsia" w:ascii="仿宋_GB2312" w:hAnsi="宋体" w:eastAsia="仿宋_GB2312" w:cs="仿宋_GB2312"/>
                <w:i w:val="0"/>
                <w:iCs w:val="0"/>
                <w:color w:val="auto"/>
                <w:kern w:val="0"/>
                <w:sz w:val="28"/>
                <w:szCs w:val="28"/>
                <w:u w:val="none"/>
                <w:lang w:val="en-US" w:eastAsia="zh-CN" w:bidi="ar"/>
              </w:rPr>
              <w:t>人，内容为</w:t>
            </w:r>
            <w:r>
              <w:rPr>
                <w:rFonts w:hint="eastAsia" w:ascii="仿宋_GB2312" w:hAnsi="宋体" w:cs="仿宋_GB2312"/>
                <w:i w:val="0"/>
                <w:iCs w:val="0"/>
                <w:color w:val="auto"/>
                <w:kern w:val="0"/>
                <w:sz w:val="28"/>
                <w:szCs w:val="28"/>
                <w:u w:val="none"/>
                <w:lang w:val="en-US" w:eastAsia="zh-CN" w:bidi="ar"/>
              </w:rPr>
              <w:t>执法、法务等业务会议</w:t>
            </w:r>
            <w:r>
              <w:rPr>
                <w:rFonts w:hint="eastAsia" w:ascii="仿宋_GB2312" w:hAnsi="宋体" w:eastAsia="仿宋_GB2312" w:cs="仿宋_GB2312"/>
                <w:i w:val="0"/>
                <w:iCs w:val="0"/>
                <w:color w:val="auto"/>
                <w:kern w:val="0"/>
                <w:sz w:val="28"/>
                <w:szCs w:val="28"/>
                <w:u w:val="none"/>
                <w:lang w:val="en-US" w:eastAsia="zh-CN" w:bidi="ar"/>
              </w:rPr>
              <w:t>；培训费预算1.00万元，拟开展</w:t>
            </w:r>
            <w:r>
              <w:rPr>
                <w:rFonts w:hint="eastAsia" w:ascii="仿宋_GB2312" w:hAnsi="宋体" w:cs="仿宋_GB2312"/>
                <w:i w:val="0"/>
                <w:iCs w:val="0"/>
                <w:color w:val="auto"/>
                <w:kern w:val="0"/>
                <w:sz w:val="28"/>
                <w:szCs w:val="28"/>
                <w:u w:val="none"/>
                <w:lang w:val="en-US" w:eastAsia="zh-CN" w:bidi="ar"/>
              </w:rPr>
              <w:t>2</w:t>
            </w:r>
            <w:r>
              <w:rPr>
                <w:rFonts w:hint="eastAsia" w:ascii="仿宋_GB2312" w:hAnsi="宋体" w:eastAsia="仿宋_GB2312" w:cs="仿宋_GB2312"/>
                <w:i w:val="0"/>
                <w:iCs w:val="0"/>
                <w:color w:val="auto"/>
                <w:kern w:val="0"/>
                <w:sz w:val="28"/>
                <w:szCs w:val="28"/>
                <w:u w:val="none"/>
                <w:lang w:val="en-US" w:eastAsia="zh-CN" w:bidi="ar"/>
              </w:rPr>
              <w:t>次培训，人数</w:t>
            </w:r>
            <w:r>
              <w:rPr>
                <w:rFonts w:hint="eastAsia" w:ascii="仿宋_GB2312" w:hAnsi="宋体" w:cs="仿宋_GB2312"/>
                <w:i w:val="0"/>
                <w:iCs w:val="0"/>
                <w:color w:val="auto"/>
                <w:kern w:val="0"/>
                <w:sz w:val="28"/>
                <w:szCs w:val="28"/>
                <w:u w:val="none"/>
                <w:lang w:val="en-US" w:eastAsia="zh-CN" w:bidi="ar"/>
              </w:rPr>
              <w:t>2000</w:t>
            </w:r>
            <w:r>
              <w:rPr>
                <w:rFonts w:hint="eastAsia" w:ascii="仿宋_GB2312" w:hAnsi="宋体" w:eastAsia="仿宋_GB2312" w:cs="仿宋_GB2312"/>
                <w:i w:val="0"/>
                <w:iCs w:val="0"/>
                <w:color w:val="auto"/>
                <w:kern w:val="0"/>
                <w:sz w:val="28"/>
                <w:szCs w:val="28"/>
                <w:u w:val="none"/>
                <w:lang w:val="en-US" w:eastAsia="zh-CN" w:bidi="ar"/>
              </w:rPr>
              <w:t>人，内容为</w:t>
            </w:r>
            <w:r>
              <w:rPr>
                <w:rFonts w:hint="eastAsia" w:ascii="仿宋_GB2312" w:hAnsi="宋体" w:cs="仿宋_GB2312"/>
                <w:i w:val="0"/>
                <w:iCs w:val="0"/>
                <w:color w:val="auto"/>
                <w:kern w:val="0"/>
                <w:sz w:val="28"/>
                <w:szCs w:val="28"/>
                <w:u w:val="none"/>
                <w:lang w:val="en-US" w:eastAsia="zh-CN" w:bidi="ar"/>
              </w:rPr>
              <w:t>地质灾害防治培训会议、集体土地征收补偿安置政策宣传培训会议。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101BF4"/>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2021年度本单位未计划举办节庆、晚会、论坛、赛事活动。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（四）政府采购情况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本单位2021年政府采购预算总额</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万元，其中工程类</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万元，货物类</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万元，服务类</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（五）国有资产占有使用及新增资产配置情况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FF0000"/>
                <w:sz w:val="28"/>
                <w:szCs w:val="28"/>
                <w:u w:val="none"/>
              </w:rPr>
            </w:pPr>
            <w:r>
              <w:rPr>
                <w:rFonts w:hint="eastAsia" w:ascii="仿宋_GB2312" w:hAnsi="宋体" w:eastAsia="仿宋_GB2312" w:cs="仿宋_GB2312"/>
                <w:i w:val="0"/>
                <w:iCs w:val="0"/>
                <w:color w:val="FF0000"/>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截至上一年12月底，本单位共有车辆</w:t>
            </w:r>
            <w:r>
              <w:rPr>
                <w:rFonts w:hint="eastAsia" w:ascii="仿宋_GB2312" w:hAnsi="宋体" w:cs="仿宋_GB2312"/>
                <w:i w:val="0"/>
                <w:iCs w:val="0"/>
                <w:color w:val="auto"/>
                <w:kern w:val="0"/>
                <w:sz w:val="28"/>
                <w:szCs w:val="28"/>
                <w:u w:val="none"/>
                <w:lang w:val="en-US" w:eastAsia="zh-CN" w:bidi="ar"/>
              </w:rPr>
              <w:t>1</w:t>
            </w:r>
            <w:r>
              <w:rPr>
                <w:rFonts w:hint="eastAsia" w:ascii="仿宋_GB2312" w:hAnsi="宋体" w:eastAsia="仿宋_GB2312" w:cs="仿宋_GB2312"/>
                <w:i w:val="0"/>
                <w:iCs w:val="0"/>
                <w:color w:val="auto"/>
                <w:kern w:val="0"/>
                <w:sz w:val="28"/>
                <w:szCs w:val="28"/>
                <w:u w:val="none"/>
                <w:lang w:val="en-US" w:eastAsia="zh-CN" w:bidi="ar"/>
              </w:rPr>
              <w:t>辆，其中领导干部用车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辆，一般公务用车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辆，其他用车</w:t>
            </w:r>
            <w:r>
              <w:rPr>
                <w:rFonts w:hint="eastAsia" w:ascii="仿宋_GB2312" w:hAnsi="宋体" w:cs="仿宋_GB2312"/>
                <w:i w:val="0"/>
                <w:iCs w:val="0"/>
                <w:color w:val="auto"/>
                <w:kern w:val="0"/>
                <w:sz w:val="28"/>
                <w:szCs w:val="28"/>
                <w:u w:val="none"/>
                <w:lang w:val="en-US" w:eastAsia="zh-CN" w:bidi="ar"/>
              </w:rPr>
              <w:t>1</w:t>
            </w:r>
            <w:r>
              <w:rPr>
                <w:rFonts w:hint="eastAsia" w:ascii="仿宋_GB2312" w:hAnsi="宋体" w:eastAsia="仿宋_GB2312" w:cs="仿宋_GB2312"/>
                <w:i w:val="0"/>
                <w:iCs w:val="0"/>
                <w:color w:val="auto"/>
                <w:kern w:val="0"/>
                <w:sz w:val="28"/>
                <w:szCs w:val="28"/>
                <w:u w:val="none"/>
                <w:lang w:val="en-US" w:eastAsia="zh-CN" w:bidi="ar"/>
              </w:rPr>
              <w:t>辆。单位价值50万元以上通用设备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台，单位价值100万元以上专用设备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101BF4"/>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2021年度本单位未计划处置或新增车辆、设备等。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000000"/>
                <w:sz w:val="28"/>
                <w:szCs w:val="28"/>
                <w:u w:val="none"/>
              </w:rPr>
            </w:pPr>
            <w:r>
              <w:rPr>
                <w:rFonts w:hint="eastAsia" w:ascii="楷体_GB2312" w:hAnsi="宋体" w:eastAsia="楷体_GB2312" w:cs="楷体_GB2312"/>
                <w:b/>
                <w:bCs/>
                <w:i w:val="0"/>
                <w:iCs w:val="0"/>
                <w:color w:val="000000"/>
                <w:kern w:val="0"/>
                <w:sz w:val="28"/>
                <w:szCs w:val="28"/>
                <w:u w:val="none"/>
                <w:lang w:val="en-US" w:eastAsia="zh-CN" w:bidi="ar"/>
              </w:rPr>
              <w:t xml:space="preserve">    （六）预算绩效目标说明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本单位所有支出实行绩效目标管理。纳入2021年单位整体支出绩效目标的金额为368.06万元，其中，基本支出155.06万元，项目支出213.00万元，绩效目标详见文尾附表中预算公开表格的表22-23。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 xml:space="preserve">    六、名词解释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36"/>
                <w:szCs w:val="36"/>
                <w:u w:val="none"/>
              </w:rPr>
            </w:pPr>
            <w:r>
              <w:rPr>
                <w:rFonts w:hint="eastAsia" w:ascii="黑体" w:hAnsi="宋体" w:eastAsia="黑体" w:cs="黑体"/>
                <w:i w:val="0"/>
                <w:iCs w:val="0"/>
                <w:color w:val="000000"/>
                <w:kern w:val="0"/>
                <w:sz w:val="36"/>
                <w:szCs w:val="36"/>
                <w:u w:val="none"/>
                <w:lang w:val="en-US" w:eastAsia="zh-CN" w:bidi="ar"/>
              </w:rPr>
              <w:t>第二部分  单位预算公开表格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5000" w:type="pct"/>
            <w:tcBorders>
              <w:top w:val="nil"/>
              <w:left w:val="nil"/>
              <w:bottom w:val="nil"/>
              <w:right w:val="nil"/>
            </w:tcBorders>
            <w:shd w:val="clear" w:color="auto" w:fill="auto"/>
            <w:vAlign w:val="center"/>
          </w:tcPr>
          <w:p>
            <w:pPr>
              <w:keepNext w:val="0"/>
              <w:keepLines w:val="0"/>
              <w:widowControl/>
              <w:numPr>
                <w:ilvl w:val="0"/>
                <w:numId w:val="1"/>
              </w:numPr>
              <w:suppressLineNumbers w:val="0"/>
              <w:jc w:val="left"/>
              <w:textAlignment w:val="center"/>
              <w:rPr>
                <w:rFonts w:hint="eastAsia" w:ascii="仿宋_GB2312" w:hAnsi="宋体" w:eastAsia="仿宋_GB2312" w:cs="仿宋_GB2312"/>
                <w:i w:val="0"/>
                <w:iCs w:val="0"/>
                <w:color w:val="000000"/>
                <w:kern w:val="0"/>
                <w:sz w:val="28"/>
                <w:szCs w:val="28"/>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收支总表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二、收入总表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三、支出总表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六、财政拨款收支总表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七、一般公共预算支出表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十四、一般公共预算“三公”经费支出表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十五、政府性基金预算支出表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十八、国有资产经营预算支出表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二十一、支出预算项目明细表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二十三、部门(单位)整体支出预算绩效目标申报表</w:t>
            </w:r>
          </w:p>
          <w:p>
            <w:pPr>
              <w:keepNext w:val="0"/>
              <w:keepLines w:val="0"/>
              <w:widowControl/>
              <w:numPr>
                <w:ilvl w:val="0"/>
                <w:numId w:val="0"/>
              </w:numPr>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cs="仿宋_GB2312"/>
                <w:i w:val="0"/>
                <w:iCs w:val="0"/>
                <w:color w:val="000000"/>
                <w:kern w:val="0"/>
                <w:sz w:val="28"/>
                <w:szCs w:val="28"/>
                <w:u w:val="none"/>
                <w:lang w:val="en-US" w:eastAsia="zh-CN" w:bidi="ar"/>
              </w:rPr>
              <w:t>二十四、一般公共预算基本支出总表</w:t>
            </w:r>
            <w:r>
              <w:rPr>
                <w:rFonts w:hint="eastAsia" w:ascii="仿宋_GB2312" w:hAnsi="宋体" w:eastAsia="仿宋_GB2312" w:cs="仿宋_GB2312"/>
                <w:i w:val="0"/>
                <w:iCs w:val="0"/>
                <w:color w:val="000000"/>
                <w:kern w:val="0"/>
                <w:sz w:val="28"/>
                <w:szCs w:val="28"/>
                <w:u w:val="none"/>
                <w:lang w:val="en-US" w:eastAsia="zh-CN" w:bidi="ar"/>
              </w:rPr>
              <w:br w:type="textWrapping"/>
            </w:r>
            <w:r>
              <w:rPr>
                <w:rFonts w:hint="eastAsia" w:ascii="仿宋_GB2312" w:hAnsi="宋体" w:eastAsia="仿宋_GB2312" w:cs="仿宋_GB2312"/>
                <w:i w:val="0"/>
                <w:iCs w:val="0"/>
                <w:color w:val="000000"/>
                <w:kern w:val="0"/>
                <w:sz w:val="28"/>
                <w:szCs w:val="28"/>
                <w:u w:val="none"/>
                <w:lang w:val="en-US" w:eastAsia="zh-CN" w:bidi="ar"/>
              </w:rPr>
              <w:t>注：以上单位预算公开报表中，空表表示本单位无相关收支情况。</w:t>
            </w:r>
          </w:p>
        </w:tc>
      </w:tr>
    </w:tbl>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4F261"/>
    <w:multiLevelType w:val="singleLevel"/>
    <w:tmpl w:val="DB94F2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ZTAzYmNmOTI4ZWRjOWRjMWNmZjU4ZDBmZWFkMjAifQ=="/>
  </w:docVars>
  <w:rsids>
    <w:rsidRoot w:val="48885009"/>
    <w:rsid w:val="03D0327F"/>
    <w:rsid w:val="060F4036"/>
    <w:rsid w:val="07453DF4"/>
    <w:rsid w:val="0B745622"/>
    <w:rsid w:val="15EA137B"/>
    <w:rsid w:val="1D4754C2"/>
    <w:rsid w:val="26EB3EA4"/>
    <w:rsid w:val="312E36D8"/>
    <w:rsid w:val="32025CA4"/>
    <w:rsid w:val="3AEF44B3"/>
    <w:rsid w:val="3B51265F"/>
    <w:rsid w:val="3BE455FD"/>
    <w:rsid w:val="3E45247C"/>
    <w:rsid w:val="3F5514C9"/>
    <w:rsid w:val="40EA1D7C"/>
    <w:rsid w:val="457F2C83"/>
    <w:rsid w:val="48885009"/>
    <w:rsid w:val="4E542F0D"/>
    <w:rsid w:val="534563AE"/>
    <w:rsid w:val="554272AB"/>
    <w:rsid w:val="55FC0B81"/>
    <w:rsid w:val="5B9E3B4B"/>
    <w:rsid w:val="69D0245A"/>
    <w:rsid w:val="6DFB00F3"/>
    <w:rsid w:val="707F6E1E"/>
    <w:rsid w:val="72E7797E"/>
    <w:rsid w:val="73A55A9E"/>
    <w:rsid w:val="76711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0" w:lineRule="exact"/>
      <w:ind w:firstLine="0" w:firstLineChars="0"/>
      <w:jc w:val="both"/>
    </w:pPr>
    <w:rPr>
      <w:rFonts w:ascii="Times New Roman" w:hAnsi="Times New Roman" w:eastAsia="仿宋_GB2312" w:cstheme="minorBidi"/>
      <w:kern w:val="2"/>
      <w:sz w:val="28"/>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ind w:firstLine="643" w:firstLineChars="200"/>
      <w:outlineLvl w:val="1"/>
    </w:pPr>
    <w:rPr>
      <w:rFonts w:ascii="Arial" w:hAnsi="Arial" w:eastAsia="黑体" w:cs="Times New Roman"/>
      <w:b/>
      <w:sz w:val="32"/>
    </w:rPr>
  </w:style>
  <w:style w:type="paragraph" w:styleId="3">
    <w:name w:val="heading 3"/>
    <w:basedOn w:val="1"/>
    <w:next w:val="1"/>
    <w:link w:val="6"/>
    <w:semiHidden/>
    <w:unhideWhenUsed/>
    <w:qFormat/>
    <w:uiPriority w:val="0"/>
    <w:pPr>
      <w:keepNext/>
      <w:keepLines/>
      <w:spacing w:before="260" w:beforeLines="0" w:beforeAutospacing="0" w:after="260" w:afterLines="0" w:afterAutospacing="0" w:line="413" w:lineRule="auto"/>
      <w:outlineLvl w:val="2"/>
    </w:pPr>
    <w:rPr>
      <w:rFonts w:ascii="Calibri" w:hAnsi="Calibri" w:eastAsia="楷体_GB2312" w:cs="Arial"/>
      <w:b/>
      <w:sz w:val="32"/>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3 Char"/>
    <w:link w:val="3"/>
    <w:qFormat/>
    <w:uiPriority w:val="0"/>
    <w:rPr>
      <w:rFonts w:ascii="Calibri" w:hAnsi="Calibri" w:eastAsia="楷体_GB2312" w:cs="Arial"/>
      <w:b/>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4411</Words>
  <Characters>4721</Characters>
  <Lines>0</Lines>
  <Paragraphs>0</Paragraphs>
  <TotalTime>0</TotalTime>
  <ScaleCrop>false</ScaleCrop>
  <LinksUpToDate>false</LinksUpToDate>
  <CharactersWithSpaces>4887</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2022-06-06T11:01:00Z</dcterms:created>
  <dc:creator>German Phillip</dc:creator>
  <cp:lastModifiedBy>Administrator</cp:lastModifiedBy>
  <dcterms:modified xsi:type="dcterms:W3CDTF">2022-09-08T08:16:15Z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F7032A72A2C54DD7B7DE006D53D5860F</vt:lpwstr>
  </property>
</Properties>
</file>