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黑体" w:hAnsi="黑体" w:eastAsia="黑体" w:cs="黑体"/>
          <w:i w:val="0"/>
          <w:iCs w:val="0"/>
          <w:caps w:val="0"/>
          <w:color w:val="333333"/>
          <w:spacing w:val="0"/>
          <w:sz w:val="44"/>
          <w:szCs w:val="44"/>
          <w:shd w:val="clear" w:fill="FFFFFF"/>
        </w:rPr>
      </w:pPr>
      <w:r>
        <w:rPr>
          <w:rFonts w:hint="eastAsia" w:ascii="黑体" w:hAnsi="黑体" w:eastAsia="黑体" w:cs="黑体"/>
          <w:i w:val="0"/>
          <w:iCs w:val="0"/>
          <w:caps w:val="0"/>
          <w:color w:val="333333"/>
          <w:spacing w:val="0"/>
          <w:sz w:val="44"/>
          <w:szCs w:val="44"/>
          <w:shd w:val="clear" w:fill="FFFFFF"/>
        </w:rPr>
        <w:t>岳阳市城市</w:t>
      </w:r>
      <w:r>
        <w:rPr>
          <w:rFonts w:hint="eastAsia" w:ascii="黑体" w:hAnsi="黑体" w:eastAsia="黑体" w:cs="黑体"/>
          <w:i w:val="0"/>
          <w:iCs w:val="0"/>
          <w:caps w:val="0"/>
          <w:color w:val="333333"/>
          <w:spacing w:val="0"/>
          <w:sz w:val="44"/>
          <w:szCs w:val="44"/>
          <w:shd w:val="clear" w:fill="FFFFFF"/>
          <w:lang w:val="en-US" w:eastAsia="zh-CN"/>
        </w:rPr>
        <w:t>规划区</w:t>
      </w:r>
      <w:r>
        <w:rPr>
          <w:rFonts w:hint="eastAsia" w:ascii="黑体" w:hAnsi="黑体" w:eastAsia="黑体" w:cs="黑体"/>
          <w:i w:val="0"/>
          <w:iCs w:val="0"/>
          <w:caps w:val="0"/>
          <w:color w:val="333333"/>
          <w:spacing w:val="0"/>
          <w:sz w:val="44"/>
          <w:szCs w:val="44"/>
          <w:shd w:val="clear" w:fill="FFFFFF"/>
        </w:rPr>
        <w:t>修建性详细规划和建设工程设计方案管理若干规定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黑体" w:hAnsi="黑体" w:eastAsia="黑体" w:cs="黑体"/>
          <w:i w:val="0"/>
          <w:iCs w:val="0"/>
          <w:caps w:val="0"/>
          <w:color w:val="333333"/>
          <w:spacing w:val="0"/>
          <w:sz w:val="44"/>
          <w:szCs w:val="44"/>
          <w:shd w:val="clear" w:fill="FFFFFF"/>
          <w:lang w:eastAsia="zh-CN"/>
        </w:rPr>
      </w:pPr>
      <w:r>
        <w:rPr>
          <w:rFonts w:hint="eastAsia" w:ascii="黑体" w:hAnsi="黑体" w:eastAsia="黑体" w:cs="黑体"/>
          <w:i w:val="0"/>
          <w:iCs w:val="0"/>
          <w:caps w:val="0"/>
          <w:color w:val="333333"/>
          <w:spacing w:val="0"/>
          <w:sz w:val="44"/>
          <w:szCs w:val="44"/>
          <w:shd w:val="clear" w:fill="FFFFFF"/>
          <w:lang w:eastAsia="zh-CN"/>
        </w:rPr>
        <w:t>（</w:t>
      </w:r>
      <w:r>
        <w:rPr>
          <w:rFonts w:hint="eastAsia" w:ascii="黑体" w:hAnsi="黑体" w:eastAsia="黑体" w:cs="黑体"/>
          <w:i w:val="0"/>
          <w:iCs w:val="0"/>
          <w:caps w:val="0"/>
          <w:color w:val="333333"/>
          <w:spacing w:val="0"/>
          <w:sz w:val="44"/>
          <w:szCs w:val="44"/>
          <w:shd w:val="clear" w:fill="FFFFFF"/>
          <w:lang w:val="en-US" w:eastAsia="zh-CN"/>
        </w:rPr>
        <w:t>修订</w:t>
      </w:r>
      <w:r>
        <w:rPr>
          <w:rFonts w:hint="eastAsia" w:ascii="黑体" w:hAnsi="黑体" w:eastAsia="黑体" w:cs="黑体"/>
          <w:i w:val="0"/>
          <w:iCs w:val="0"/>
          <w:caps w:val="0"/>
          <w:color w:val="333333"/>
          <w:spacing w:val="0"/>
          <w:sz w:val="44"/>
          <w:szCs w:val="44"/>
          <w:shd w:val="clear" w:fill="FFFFFF"/>
          <w:lang w:eastAsia="zh-CN"/>
        </w:rPr>
        <w:t>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为进一步规范我市</w:t>
      </w:r>
      <w:r>
        <w:rPr>
          <w:rFonts w:hint="eastAsia" w:ascii="仿宋" w:hAnsi="仿宋" w:eastAsia="仿宋" w:cs="仿宋"/>
          <w:i w:val="0"/>
          <w:iCs w:val="0"/>
          <w:caps w:val="0"/>
          <w:color w:val="333333"/>
          <w:spacing w:val="0"/>
          <w:sz w:val="32"/>
          <w:szCs w:val="32"/>
          <w:shd w:val="clear" w:fill="FFFFFF"/>
          <w:lang w:eastAsia="zh-CN"/>
        </w:rPr>
        <w:t>城市规划区</w:t>
      </w:r>
      <w:r>
        <w:rPr>
          <w:rFonts w:hint="eastAsia" w:ascii="仿宋" w:hAnsi="仿宋" w:eastAsia="仿宋" w:cs="仿宋"/>
          <w:i w:val="0"/>
          <w:iCs w:val="0"/>
          <w:caps w:val="0"/>
          <w:color w:val="333333"/>
          <w:spacing w:val="0"/>
          <w:sz w:val="32"/>
          <w:szCs w:val="32"/>
          <w:shd w:val="clear" w:fill="FFFFFF"/>
        </w:rPr>
        <w:t>修建性详细规划和建设工程设计方案管理，提高城市品质，加强城市管理，维护社会公共利益，根据《中华人民共和国城乡规划法》《湖南省实施〈中华人民共和国城乡规划法〉办法》和《城市居住区规划设计标准》（GB 50180—2018）等有关规定，结合我市实际，制定本规定。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一、岳阳市</w:t>
      </w:r>
      <w:r>
        <w:rPr>
          <w:rFonts w:hint="eastAsia" w:ascii="仿宋" w:hAnsi="仿宋" w:eastAsia="仿宋" w:cs="仿宋"/>
          <w:i w:val="0"/>
          <w:iCs w:val="0"/>
          <w:caps w:val="0"/>
          <w:color w:val="333333"/>
          <w:spacing w:val="0"/>
          <w:sz w:val="32"/>
          <w:szCs w:val="32"/>
          <w:shd w:val="clear" w:fill="FFFFFF"/>
          <w:lang w:eastAsia="zh-CN"/>
        </w:rPr>
        <w:t>城市规划区</w:t>
      </w:r>
      <w:r>
        <w:rPr>
          <w:rFonts w:hint="eastAsia" w:ascii="仿宋" w:hAnsi="仿宋" w:eastAsia="仿宋" w:cs="仿宋"/>
          <w:i w:val="0"/>
          <w:iCs w:val="0"/>
          <w:caps w:val="0"/>
          <w:color w:val="333333"/>
          <w:spacing w:val="0"/>
          <w:sz w:val="32"/>
          <w:szCs w:val="32"/>
          <w:shd w:val="clear" w:fill="FFFFFF"/>
        </w:rPr>
        <w:t>和岳阳县部分行政区域范围内修建性详细规划以及新建、改建、扩建建（构）筑物的建设工程设计方案的编制、修改及其监督管理，均应遵守本规定。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二、以下款项内的修建性详细规划、建设工程设计方案由市政府或相关行政主管部门审定，在审定前按下列程序审查：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一）岳阳大道、南湖大道、巴陵路两侧，“一湖两岸”滨水城市设计1000米范围内，风景名胜区及其外围保护地带、历史文化街区范围内的项目，以及上述范围之外对城市布局、交通、景观和环境有重大影响的片区标志性工程、地标性建筑，大型公共建筑等项目，由市资规局组织审查并报市国土空间规划委员会专题会审查后，报市国土空间规划委员会主任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二）青年路、冷水铺路、湖滨大道、赶山路、沿湖大道、湘北大道、洞庭大道、沙鸥路、旅游路、云中路、云溪大道、长康路、云港路、长江大道、联港路、西环线两侧，除（一）项规定之外的控制性详细规划确定的重要地块，其他地段建设规模达到30万平方米以上或单体公共建筑规模达到3万平方米以上的项目,由市资规局组织审查后，报市国土空间规划委员会专题会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三）岳阳县荣家湾镇、新开镇控制性详细规划确定的重要地块，G240、湘北大道两侧，以及“一湖两岸”滨水城市设计岳阳县段1000米范围内的建设项目，其他地段建设规模达到30万平方米以上或单体公共建筑规模达到3万平方米以上的建设项目，其修建性详细规划和建设工程设计方案，由岳阳县自然资源部门依法审定。岳阳县自然资源部门在审定前应将设计方案报岳阳县政府、市资规局审查，再报市国土空间规划委员会专题会议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上述（一）（二）（三）项规定范围内对城市风貌、周边环境协调性无重大影响的建设项目，由市资规局组织审查后，报市国土空间规划委员会副主任审定。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三、修建性详细规划和建设工程设计方案的编制、修改应符合片区控制性详细规划。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住房建设主管部门应依据经批准的建设工程设计方案审查建筑初步设计及施工图设计。实施过程中的设计变更不得改变经批准的规划设计条件、修建性详细规划和建设工程设计方案，建设方确需改变的，按规定程序重新报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四、修改经依法审定的修建性详细规划和建设工程设计方案，应具备下列情形之一：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（一）控制性详细规划发生重大变更对项目产生重大影响的；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（二）公共建筑和公益设施建设对项目产生重大影响的；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（三）在符合控制性详细规划的前提下，增加绿地率和停车位、降低建筑密度等改善项目环境的；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（四）法律、法规规定的其他情形。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符合上述情形之一的，自然资源和规划行政主管部门应当采取听证会、论证会或座谈会等形式，听取相对利害关系人的意见，并按本规定重新报批。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居住用地内配套的商业建筑，原则上应与住宅建筑分离，集中统一布置。居住用地内的社区服务站、文化活动站（含青少年、老年活动站）、生活垃圾分类设施、老年人日间照料中心（托老所）、社区卫生服务站、快递收发点等配套设施，应按照《城市居住区规划设计标准》5分钟、10分钟、15分钟生活圈的配置要求配置齐全。工业项目生活配套设施原则上应集中布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六、沿建筑基地边界（用地红线）的建筑物，其离界（用地红线，下同）距离按以下规定控制；但离界距离小于消防间距时，须按消防间距相关规定控制。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各类建筑的离界距离不得小于规定的最小距离（见附件2）。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七、居住建筑山墙间距应符合最小距离的规定（见附件3）。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临街高层建筑山墙间距不得少于20米。临街建筑山墙不宜开设门窗。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八、临街建筑退让城市道路红线距离按建筑高度和道路级别进行分类控制，其退让距离应符合最小距离的规定（见附件4）。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临城市道路设置商业设施的，建筑退让城市道路红线的最小距离按平行布置时的最小退让距离增加5米以上确定。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沿铁路、各级公路的退让应符合以下要求：与铁路运营无关的建筑后退最近一道铁轨的距离，高速铁路不少于50米，铁路干线不少于30米，铁路支线不少于15米；后退高速公路两侧边沟外缘不少于30米；后退高速公路的连接道路不少于20米，后退普通国道不少于20米，省道不少于15米，县道不少于10米，其他公路不少于5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九、临城市道路交叉口周边应留出足够的开放空间，建筑退让城市道路交叉口距离按转角处道路红线直线段与曲线段的切点连线的垂直距离进行退让控制，其退让距离应符合最小距离的规定（见附件5）。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在不影响行车安全及建筑物和人行道正常使用的情况下，建筑后退城市主、次干道道路交叉口的用地，应结合行道树的种植，设置面积不少于40平方米的绿化岛。后退城市道路红线的临街公共空间应加强绿化设计，建成林荫式公共空间。有条件的临街用地，后退城市道路红线距离超过10米的，建设绿带面积不少于20%；后退城市道路红线距离在10米以下的，种植一排行道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一、修建性详细规划和建设工程设计方案必须编制园林景观设计方案专篇，设计内容及深度应当符合《城市绿地设计规范》（住建部公告第1192号）、《公园设计规范》（住建部公告第1285号）、《居住绿地设计标准》（住建部公告2019年第82号）、《建筑场地园林景观设计深度及图样》（06SJ805）、《市政公用工程设计文件编制深度规定（2013年版）》（建质〔2013〕57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十二、建设工程设计应符合下列规定：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建筑形式和色彩应符合岳阳市城市风貌规划的要求，岳阳楼景区、南湖景区及其外围保护地带的建筑形式和色彩应符合经依法批准的《岳阳楼—洞庭湖风景名胜区总体规划》《岳阳楼景区、南湖景区外围保护地带风貌规划》及风景区管理的相关规定。历史城区内的建筑形式应采用仿古建筑形式和简化仿古建筑形式，色彩应以灰白色系为主色调。历史文化街区与其他区域的过渡区，洞庭湖、南湖景区及其外围保护地带的建筑形式宜为地方建筑形式，色彩应以灰白色系为主色调。其他区域的建筑形式、建筑色彩应符合相关区域城市设计的要求，低层、多层屋顶原则上应采用坡屋顶的形式。建筑单体的尺度应与周边相协调，建筑群体应通过有组织的重复和变化，形成韵律与节奏。滨水、临山、临城市主要道路及城市公园的高层建筑，应形成高低错落、层次丰富、进退有序的天际轮廓线，低、多层建筑（含裙楼）面宽一般不超过80米，首排高层住宅建筑垂直于景观界面的正投影最大宽度应≤45米。沿街布置的低、多层建筑（含裙楼），应通过分段增加细节和进退变化等方式，加强城市街道设计。建筑立面设计应符合建筑形式美的规律，重要节点建筑的方案设计应在满足城市规划和环境要求的基础上体现建筑个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以高层建筑为主且计容建筑面积20万平方米以上的地块应进行高度分区设计，分组团形成建筑高度的梯级变化。同一区域涉及多个项目的，应统筹进行高度分区设计。原则上每个高度层级（不含裙楼、低多层）不少于2栋，层级之间高差不小于20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新建的建设项目应在基地内沿道路交叉口或基地出入口设置广场，并对外开放。住宅项目的广场总面积原则上不小于基地面积的5%，且不宜小于200平方米，广场形状宜规整。新建的建设项目临城市道路、广场不得设置地面机动车停车位，取消在建和已建项目临城市道路和广场的地面机动车停车位。鼓励人行道与相邻建筑退让空间进行一体化设计，统筹利用空间资源，塑造高品质步行环境。加强空间设计，通过绿化、美化、亮化，增加功能设施，提高利用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（四）设计单位应对建筑进行节能设计，对政府投资的公益性建筑和大型公共建筑还应进行绿色建筑设计。设计建筑屋顶和外立面时，应将太阳能、花池等设施与建筑整体统筹设计。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锅炉房、配电房、水泵房、烟囱、垃圾点、化粪池不得临城市道路布置，沿城市道路建筑的空调外机、管道等应进行隐蔽式设计，不得裸露外置。城市道路两侧的商业建筑安装的卷闸门应与其附属的雨篷、遮阳物、广告牌和底层柱的装饰风格统一。建筑及附属设施，包括建筑标识、门廊、连廊、阳台、室外楼梯、台阶、坡道、平台、地下室进排风口、地下室出入口、集水井、采光井等不得在后退城市道路红线范围内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（六）沿城市主干道建筑的立面窗户、阳台只能安装不超过外墙面或阳台栏板的防护罩。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安装防护罩应以建筑群或整栋为单位，与建筑主体统一设计，统一形式，并采用不锈钢、铝合金等新型材料。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安装窗罩、阳台罩时应在交通方便的一面设置一个活动出口，供消防救护时使用。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（七）沿城市道路建筑的外墙窗户与装饰，鼓励使用新型、节能材料，裙楼装饰提倡采用石材，城市道路交叉口及道路拐弯处的建筑禁止使用光污染材料，所用材料均须安全、环保。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修建性详细规划和建设工程设计方案的编制、修改应依据《湖南省人民防空工程建设与维护管理规定》（省政府令第297号），规划、设计地下人防工程，其规模、功能、防护等级等内容应报人防行政主管部门审定；人防工程新建、改建、扩建应符合人防工程建设相关战术技术规范、标准要求。需要作重大修改的，还应当由施工图审查机构审查合格后，报人防行政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十三、编制片区详细规划、建筑单体设计方案时，应充分考虑道路的能级与功能，保持适宜的沿街空间尺度以及街道宽度与两侧建筑高度的比值。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十四、新建各级生活圈居住区应配套规划建设公共绿地，并应集中设置具有一定规模，且能开展休闲、体育活动的居住区公园：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（一）十五分钟生活圈居住区内人均公共绿地面积不得小于2平方米，居住区内配建公园的面积不小于5公顷，最小宽度不小于80米。该指标不含十分钟生活圈及下级居住区的公共绿地指标。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（二）十分钟生活圈居住区内人均公共绿地面积不得小于1平方米，居住区内配建公园的面积不小于1公顷，最小宽度不小于50米。该指标不含五分钟生活圈及下级居住区的公共绿地指标。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（三）五分钟生活圈居住区内人均公共绿地面积不得小于1平方米，居住区内配建公园的面积不小于0.4公顷，最小宽度不小于30米。该指标不含居住街坊的绿地指标。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（四）当旧区改建确实无法满足上述规定时，可采取多点分布以及立体绿化等方式改善居住环境，但人均公共绿地面积不应低于相应控制指标的70%。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十五、居住街坊内集中绿地的规划建设，应符合下列规定：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（一）新区建设不应低于0.5平方米/人，旧区改建不应低于0.35平方米/人；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（二）宽度不应小于8米；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（三）在标准的建筑日照阴影线范围之外的绿地面积不应少于1/3，其中应设置老年人、儿童活动场地。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fill="FFFFFF"/>
        </w:rPr>
        <w:t>十六、修建性详细规划和建设工程设计方案应有海绵城市设计内容，同时，城市排水应实行“雨污分流”制，各类地下管线按国家规范要求合理布置。除军事、保密性建筑等有特殊要求的公共建筑外，公共建筑的临街面应敞开，不得建设围墙。临城市道路的围墙应采用通透式，后退城市道路红线距离不得小于2米</w:t>
      </w:r>
      <w:r>
        <w:rPr>
          <w:rFonts w:hint="eastAsia" w:ascii="仿宋" w:hAnsi="仿宋" w:eastAsia="仿宋" w:cs="仿宋"/>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七、亮化设计应按照《湖南省住房和城乡建设厅关于印发〈湖南省城市照明管理规定〉的通知》（湘建城〔2018〕75号）和《岳阳市人民政府办公室关于印发〈岳阳市中心城区城市照明管理办法〉的通知》（岳政办发〔2017〕14号）执行，并与方案同步设计、同步建设、同步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sz w:val="32"/>
          <w:szCs w:val="32"/>
          <w:shd w:val="clear" w:fill="FFFFFF"/>
        </w:rPr>
        <w:t>十八、总建筑面积大于或等于500平方米的临时建筑报市国土空间规划委员会专题审查后，由自然资源和规划行政主管部门审批。审批</w:t>
      </w:r>
      <w:r>
        <w:rPr>
          <w:rFonts w:hint="eastAsia" w:ascii="仿宋" w:hAnsi="仿宋" w:eastAsia="仿宋" w:cs="仿宋"/>
          <w:i w:val="0"/>
          <w:iCs w:val="0"/>
          <w:caps w:val="0"/>
          <w:color w:val="333333"/>
          <w:spacing w:val="0"/>
          <w:kern w:val="2"/>
          <w:sz w:val="32"/>
          <w:szCs w:val="32"/>
          <w:shd w:val="clear" w:fill="FFFFFF"/>
          <w:lang w:val="en-US" w:eastAsia="zh-CN" w:bidi="ar-SA"/>
        </w:rPr>
        <w:t>临时建筑应明确使用期限，使用期限届满后自行拆除。</w:t>
      </w:r>
    </w:p>
    <w:p>
      <w:pPr>
        <w:keepNext w:val="0"/>
        <w:keepLines w:val="0"/>
        <w:pageBreakBefore w:val="0"/>
        <w:numPr>
          <w:ilvl w:val="0"/>
          <w:numId w:val="0"/>
        </w:numPr>
        <w:kinsoku/>
        <w:wordWrap/>
        <w:overflowPunct/>
        <w:topLinePunct w:val="0"/>
        <w:autoSpaceDE/>
        <w:autoSpaceDN/>
        <w:bidi w:val="0"/>
        <w:adjustRightInd/>
        <w:snapToGrid/>
        <w:spacing w:line="640" w:lineRule="exact"/>
        <w:ind w:left="0" w:firstLine="640" w:firstLineChars="200"/>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十九、市中心城区停车位的配建按照《岳阳市中心城区停车位配建标准》（见附件6）安排执行，表中未明确的事项或所列事项不明确的，由市资规局根据具体情况核定停车位配建标准。改（扩）建建筑物总面积大于或等于500平方米的，除增加建筑面积的部分应按要求配建停车位外，按原建筑物面积配建停车位不足的，应在改（扩）建的同时，按不低于车位差额数的30%予以补建项目。学校及医院应设置即走即停车辆临时停靠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十、临城市主次干道地面不得直接对外设置停车位，居住区（居住小区）项目内的停车泊位原则上应全部在地下进行设置，因项目场地条件限制，地面可设置部分临时停车位用于公共服务、社区服务、物业管理、临客来访等。民用非居住建筑、工业用地或仓储用地内配建的非厂房类与非仓库类建筑（如配套的办公、展示、倒班宿舍、运动、休闲、食堂、小卖部等建筑)配建的地下停车库停车位数量应不少于该部分建筑配建停车位数量的80%。工业地产项目配建的地下停车库停车位数量应不少于总配建停车位数量（不含货运车辆和装卸车位)的70%；除工业地产之外的工业项目和仓储物流项目的停车位配建按总量进行控制，可依据行业设计规范在建设用地内地上、地下合理设置，鼓励在地下进行集中设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商场、街道综合服务中心机动车停车场（库）可采用地下停车、停车楼或机械式停车设施。停车设施应与主体工程同步设计、同步施工、同步验收和同步交付使用，规划作为停车使用的用地和建筑空间不得改变为其他用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住宅建筑配建停车库中的子母车位按2个车位计算，一个微型车位按0.7个有效车位计算。换算为有效车位后，子车位总数不得超过应配建车位总量的5%，子车位与微型车位的总数不得超过应配建车位总量的10%。</w:t>
      </w:r>
    </w:p>
    <w:p>
      <w:pPr>
        <w:keepNext w:val="0"/>
        <w:keepLines w:val="0"/>
        <w:pageBreakBefore w:val="0"/>
        <w:numPr>
          <w:ilvl w:val="0"/>
          <w:numId w:val="0"/>
        </w:numPr>
        <w:kinsoku/>
        <w:wordWrap/>
        <w:overflowPunct/>
        <w:topLinePunct w:val="0"/>
        <w:autoSpaceDE/>
        <w:autoSpaceDN/>
        <w:bidi w:val="0"/>
        <w:adjustRightInd/>
        <w:snapToGrid/>
        <w:spacing w:line="640" w:lineRule="exact"/>
        <w:ind w:left="0"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二十一、</w:t>
      </w:r>
      <w:r>
        <w:rPr>
          <w:rFonts w:hint="eastAsia" w:ascii="仿宋" w:hAnsi="仿宋" w:eastAsia="仿宋" w:cs="仿宋"/>
          <w:i w:val="0"/>
          <w:iCs w:val="0"/>
          <w:caps w:val="0"/>
          <w:color w:val="333333"/>
          <w:spacing w:val="0"/>
          <w:sz w:val="32"/>
          <w:szCs w:val="32"/>
          <w:shd w:val="clear" w:fill="FFFFFF"/>
          <w:lang w:val="en-US" w:eastAsia="zh-CN"/>
        </w:rPr>
        <w:t>对于旧改、棚改及须实施的民生、市政、公共服务等项目处理过程中涉及的退让、车位配比须突破本文件相关控制指标等问题，报市政府另行研究。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二十二、违反本规定的，按《城乡规划违法违纪行为处分办法》（监察部、人社部、住建部令第29号）等相关规定追究责任单位和责任人的责任。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w:t>
      </w:r>
      <w:r>
        <w:rPr>
          <w:rFonts w:hint="eastAsia" w:ascii="仿宋" w:hAnsi="仿宋" w:eastAsia="仿宋" w:cs="仿宋"/>
          <w:i w:val="0"/>
          <w:iCs w:val="0"/>
          <w:caps w:val="0"/>
          <w:color w:val="333333"/>
          <w:spacing w:val="0"/>
          <w:sz w:val="32"/>
          <w:szCs w:val="32"/>
          <w:shd w:val="clear" w:fill="FFFFFF"/>
          <w:lang w:eastAsia="zh-CN"/>
        </w:rPr>
        <w:t>三</w:t>
      </w:r>
      <w:r>
        <w:rPr>
          <w:rFonts w:hint="eastAsia" w:ascii="仿宋" w:hAnsi="仿宋" w:eastAsia="仿宋" w:cs="仿宋"/>
          <w:i w:val="0"/>
          <w:iCs w:val="0"/>
          <w:caps w:val="0"/>
          <w:color w:val="333333"/>
          <w:spacing w:val="0"/>
          <w:sz w:val="32"/>
          <w:szCs w:val="32"/>
          <w:shd w:val="clear" w:fill="FFFFFF"/>
        </w:rPr>
        <w:t>、本规定自印发之日起施行。本市有关规定与本规定不一致的，以本规定为准。各县市区可参照本规定，结合当地实际制定相应的管理规定。《岳阳市人民政府办公室关于印发〈岳阳市</w:t>
      </w:r>
      <w:r>
        <w:rPr>
          <w:rFonts w:hint="eastAsia" w:ascii="仿宋" w:hAnsi="仿宋" w:eastAsia="仿宋" w:cs="仿宋"/>
          <w:i w:val="0"/>
          <w:iCs w:val="0"/>
          <w:caps w:val="0"/>
          <w:color w:val="333333"/>
          <w:spacing w:val="0"/>
          <w:sz w:val="32"/>
          <w:szCs w:val="32"/>
          <w:shd w:val="clear" w:fill="FFFFFF"/>
          <w:lang w:eastAsia="zh-CN"/>
        </w:rPr>
        <w:t>城市规划区</w:t>
      </w:r>
      <w:r>
        <w:rPr>
          <w:rFonts w:hint="eastAsia" w:ascii="仿宋" w:hAnsi="仿宋" w:eastAsia="仿宋" w:cs="仿宋"/>
          <w:i w:val="0"/>
          <w:iCs w:val="0"/>
          <w:caps w:val="0"/>
          <w:color w:val="333333"/>
          <w:spacing w:val="0"/>
          <w:sz w:val="32"/>
          <w:szCs w:val="32"/>
          <w:shd w:val="clear" w:fill="FFFFFF"/>
        </w:rPr>
        <w:t>修建性详细规划和建设工程设计方案管理若干规定〉的通知》（岳政办发〔20</w:t>
      </w:r>
      <w:r>
        <w:rPr>
          <w:rFonts w:hint="eastAsia" w:ascii="仿宋" w:hAnsi="仿宋" w:eastAsia="仿宋" w:cs="仿宋"/>
          <w:i w:val="0"/>
          <w:iCs w:val="0"/>
          <w:caps w:val="0"/>
          <w:color w:val="333333"/>
          <w:spacing w:val="0"/>
          <w:sz w:val="32"/>
          <w:szCs w:val="32"/>
          <w:shd w:val="clear" w:fill="FFFFFF"/>
          <w:lang w:val="en-US" w:eastAsia="zh-CN"/>
        </w:rPr>
        <w:t>16</w:t>
      </w:r>
      <w:r>
        <w:rPr>
          <w:rFonts w:hint="eastAsia"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lang w:val="en-US" w:eastAsia="zh-CN"/>
        </w:rPr>
        <w:t>0</w:t>
      </w:r>
      <w:r>
        <w:rPr>
          <w:rFonts w:hint="eastAsia" w:ascii="仿宋" w:hAnsi="仿宋" w:eastAsia="仿宋" w:cs="仿宋"/>
          <w:i w:val="0"/>
          <w:iCs w:val="0"/>
          <w:caps w:val="0"/>
          <w:color w:val="333333"/>
          <w:spacing w:val="0"/>
          <w:sz w:val="32"/>
          <w:szCs w:val="32"/>
          <w:shd w:val="clear" w:fill="FFFFFF"/>
        </w:rPr>
        <w:t>号）</w:t>
      </w:r>
      <w:r>
        <w:rPr>
          <w:rFonts w:hint="eastAsia" w:ascii="仿宋" w:hAnsi="仿宋" w:eastAsia="仿宋" w:cs="仿宋"/>
          <w:i w:val="0"/>
          <w:iCs w:val="0"/>
          <w:caps w:val="0"/>
          <w:color w:val="333333"/>
          <w:spacing w:val="0"/>
          <w:sz w:val="32"/>
          <w:szCs w:val="32"/>
          <w:shd w:val="clear" w:fill="FFFFFF"/>
          <w:lang w:val="en-US" w:eastAsia="zh-CN"/>
        </w:rPr>
        <w:t>和</w:t>
      </w:r>
      <w:r>
        <w:rPr>
          <w:rFonts w:hint="eastAsia" w:ascii="仿宋" w:hAnsi="仿宋" w:eastAsia="仿宋" w:cs="仿宋"/>
          <w:i w:val="0"/>
          <w:iCs w:val="0"/>
          <w:caps w:val="0"/>
          <w:color w:val="333333"/>
          <w:spacing w:val="0"/>
          <w:sz w:val="32"/>
          <w:szCs w:val="32"/>
          <w:shd w:val="clear" w:fill="FFFFFF"/>
        </w:rPr>
        <w:t>《岳阳市人民政府办公室关于</w:t>
      </w:r>
      <w:r>
        <w:rPr>
          <w:rFonts w:hint="eastAsia" w:ascii="仿宋" w:hAnsi="仿宋" w:eastAsia="仿宋" w:cs="仿宋"/>
          <w:i w:val="0"/>
          <w:iCs w:val="0"/>
          <w:caps w:val="0"/>
          <w:color w:val="333333"/>
          <w:spacing w:val="0"/>
          <w:sz w:val="32"/>
          <w:szCs w:val="32"/>
          <w:shd w:val="clear" w:fill="FFFFFF"/>
          <w:lang w:val="en-US" w:eastAsia="zh-CN"/>
        </w:rPr>
        <w:t>修改</w:t>
      </w:r>
      <w:r>
        <w:rPr>
          <w:rFonts w:hint="eastAsia" w:ascii="仿宋" w:hAnsi="仿宋" w:eastAsia="仿宋" w:cs="仿宋"/>
          <w:i w:val="0"/>
          <w:iCs w:val="0"/>
          <w:caps w:val="0"/>
          <w:color w:val="333333"/>
          <w:spacing w:val="0"/>
          <w:sz w:val="32"/>
          <w:szCs w:val="32"/>
          <w:shd w:val="clear" w:fill="FFFFFF"/>
        </w:rPr>
        <w:t>〈岳阳市</w:t>
      </w:r>
      <w:r>
        <w:rPr>
          <w:rFonts w:hint="eastAsia" w:ascii="仿宋" w:hAnsi="仿宋" w:eastAsia="仿宋" w:cs="仿宋"/>
          <w:i w:val="0"/>
          <w:iCs w:val="0"/>
          <w:caps w:val="0"/>
          <w:color w:val="333333"/>
          <w:spacing w:val="0"/>
          <w:sz w:val="32"/>
          <w:szCs w:val="32"/>
          <w:shd w:val="clear" w:fill="FFFFFF"/>
          <w:lang w:eastAsia="zh-CN"/>
        </w:rPr>
        <w:t>城市规划区</w:t>
      </w:r>
      <w:r>
        <w:rPr>
          <w:rFonts w:hint="eastAsia" w:ascii="仿宋" w:hAnsi="仿宋" w:eastAsia="仿宋" w:cs="仿宋"/>
          <w:i w:val="0"/>
          <w:iCs w:val="0"/>
          <w:caps w:val="0"/>
          <w:color w:val="333333"/>
          <w:spacing w:val="0"/>
          <w:sz w:val="32"/>
          <w:szCs w:val="32"/>
          <w:shd w:val="clear" w:fill="FFFFFF"/>
        </w:rPr>
        <w:t>修建性详细规划和建设工程设计方案管理若干规定〉</w:t>
      </w:r>
      <w:r>
        <w:rPr>
          <w:rFonts w:hint="eastAsia" w:ascii="仿宋" w:hAnsi="仿宋" w:eastAsia="仿宋" w:cs="仿宋"/>
          <w:i w:val="0"/>
          <w:iCs w:val="0"/>
          <w:caps w:val="0"/>
          <w:color w:val="333333"/>
          <w:spacing w:val="0"/>
          <w:sz w:val="32"/>
          <w:szCs w:val="32"/>
          <w:shd w:val="clear" w:fill="FFFFFF"/>
          <w:lang w:val="en-US" w:eastAsia="zh-CN"/>
        </w:rPr>
        <w:t>部分条款的</w:t>
      </w:r>
      <w:r>
        <w:rPr>
          <w:rFonts w:hint="eastAsia" w:ascii="仿宋" w:hAnsi="仿宋" w:eastAsia="仿宋" w:cs="仿宋"/>
          <w:i w:val="0"/>
          <w:iCs w:val="0"/>
          <w:caps w:val="0"/>
          <w:color w:val="333333"/>
          <w:spacing w:val="0"/>
          <w:sz w:val="32"/>
          <w:szCs w:val="32"/>
          <w:shd w:val="clear" w:fill="FFFFFF"/>
        </w:rPr>
        <w:t>通知》（岳政办发〔20</w:t>
      </w:r>
      <w:r>
        <w:rPr>
          <w:rFonts w:hint="eastAsia" w:ascii="仿宋" w:hAnsi="仿宋" w:eastAsia="仿宋" w:cs="仿宋"/>
          <w:i w:val="0"/>
          <w:iCs w:val="0"/>
          <w:caps w:val="0"/>
          <w:color w:val="333333"/>
          <w:spacing w:val="0"/>
          <w:sz w:val="32"/>
          <w:szCs w:val="32"/>
          <w:shd w:val="clear" w:fill="FFFFFF"/>
          <w:lang w:val="en-US" w:eastAsia="zh-CN"/>
        </w:rPr>
        <w:t>18</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号）同时废止。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00" w:firstLineChars="20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附件：</w:t>
      </w:r>
      <w:r>
        <w:rPr>
          <w:rFonts w:hint="eastAsia" w:ascii="仿宋" w:hAnsi="仿宋" w:eastAsia="仿宋" w:cs="仿宋"/>
          <w:i w:val="0"/>
          <w:iCs w:val="0"/>
          <w:caps w:val="0"/>
          <w:color w:val="333333"/>
          <w:spacing w:val="0"/>
          <w:sz w:val="32"/>
          <w:szCs w:val="32"/>
          <w:shd w:val="clear" w:fill="FFFFFF"/>
        </w:rPr>
        <w:t>1.用语含义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960" w:firstLineChars="3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2.建筑离界（用地红线）距离控制表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960" w:firstLineChars="3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3.居住建筑山墙间距控制表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960" w:firstLineChars="3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4.建筑退让城市道路红线距离表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960" w:firstLineChars="3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5.建筑退让城市道路交叉口距离表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960" w:firstLineChars="3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6.岳阳市停车位配建标准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用 语 含 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仿宋" w:hAnsi="仿宋" w:eastAsia="仿宋" w:cs="仿宋"/>
          <w:b/>
          <w:bCs/>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1.“一湖两岸”核心区范围：包括东岸和西岸，沿江腹地1—3公里腹地范围。东岸北起云溪区道仁矶，南至岳阳县鹿角港，岸线长度约61公里；西岸为君山垸，岸线长度约30公里。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2.建筑退让：建筑物外墙与建设用地红线之间的最小垂直距离。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3.超高层建筑：建筑高度在100米以上的建筑。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4.低层住宅：层数为1—3层的住宅。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5.多层住宅：层数为4—6层的住宅。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6.中高层住宅：层数为7—9层的住宅。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640" w:firstLineChars="200"/>
        <w:jc w:val="both"/>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7.高层住宅：层数大于等于10层的住宅。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b/>
          <w:bCs/>
          <w:i w:val="0"/>
          <w:iCs w:val="0"/>
          <w:caps w:val="0"/>
          <w:color w:val="333333"/>
          <w:spacing w:val="0"/>
          <w:sz w:val="30"/>
          <w:szCs w:val="30"/>
          <w:shd w:val="clear" w:fill="FFFFFF"/>
        </w:rPr>
      </w:pPr>
      <w:r>
        <w:rPr>
          <w:rFonts w:hint="eastAsia" w:ascii="仿宋" w:hAnsi="仿宋" w:eastAsia="仿宋" w:cs="仿宋"/>
          <w:b/>
          <w:bCs/>
          <w:i w:val="0"/>
          <w:iCs w:val="0"/>
          <w:caps w:val="0"/>
          <w:color w:val="333333"/>
          <w:spacing w:val="0"/>
          <w:sz w:val="30"/>
          <w:szCs w:val="30"/>
          <w:shd w:val="clear" w:fill="FFFFFF"/>
        </w:rPr>
        <w:t>             建筑离界（用地红线）距离控制表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textAlignment w:val="center"/>
        <w:rPr>
          <w:rFonts w:hint="eastAsia" w:ascii="仿宋" w:hAnsi="仿宋" w:eastAsia="仿宋" w:cs="仿宋"/>
          <w:b/>
          <w:bCs/>
          <w:i w:val="0"/>
          <w:iCs w:val="0"/>
          <w:caps w:val="0"/>
          <w:color w:val="333333"/>
          <w:spacing w:val="0"/>
          <w:sz w:val="21"/>
          <w:szCs w:val="21"/>
          <w:shd w:val="clear" w:fill="FFFFFF"/>
        </w:rPr>
      </w:pPr>
    </w:p>
    <w:tbl>
      <w:tblPr>
        <w:tblStyle w:val="3"/>
        <w:tblW w:w="903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410"/>
        <w:gridCol w:w="685"/>
        <w:gridCol w:w="2592"/>
        <w:gridCol w:w="2173"/>
        <w:gridCol w:w="217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trHeight w:val="968" w:hRule="atLeast"/>
        </w:trPr>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类型</w:t>
            </w:r>
          </w:p>
        </w:tc>
        <w:tc>
          <w:tcPr>
            <w:tcW w:w="6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向</w:t>
            </w:r>
          </w:p>
        </w:tc>
        <w:tc>
          <w:tcPr>
            <w:tcW w:w="2592" w:type="dxa"/>
            <w:tcBorders>
              <w:top w:val="outset" w:color="000000" w:sz="6" w:space="0"/>
              <w:left w:val="outset" w:color="000000" w:sz="6" w:space="0"/>
              <w:bottom w:val="single" w:color="auto" w:sz="4" w:space="0"/>
              <w:right w:val="outset" w:color="000000" w:sz="6" w:space="0"/>
            </w:tcBorders>
            <w:shd w:val="clear" w:color="auto" w:fill="FFFFFF"/>
            <w:tcMar>
              <w:top w:w="0" w:type="dxa"/>
            </w:tcMar>
            <w:vAlign w:val="center"/>
            <mc:AlternateContent>
              <mc:Choice Requires="wpsCustomData">
                <wpsCustomData:diagonals>
                  <wpsCustomData:diagonal from="34500" to="10000">
                    <wpsCustomData:border w:val="single" w:color="000000" w:sz="6" w:space="0"/>
                  </wpsCustomData:diagonal>
                  <wpsCustomData:diagonal from="10000" to="26400">
                    <wpsCustomData:border w:val="single" w:color="000000" w:sz="6" w:space="0"/>
                  </wpsCustomData:diagonal>
                </wpsCustomData:diagonals>
              </mc:Choice>
            </mc:AlternateContent>
          </w:tcPr>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mc:AlternateContent>
                <mc:Choice Requires="wpsCustomData">
                  <wpsCustomData:diagonalParaType/>
                </mc:Choice>
              </mc:AlternateConten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lang w:val="en-US" w:eastAsia="zh-CN"/>
              </w:rPr>
              <w:t xml:space="preserve">   </w:t>
            </w:r>
            <w:r>
              <w:rPr>
                <w:rFonts w:hint="eastAsia" w:ascii="宋体" w:hAnsi="宋体" w:eastAsia="宋体" w:cs="宋体"/>
                <w:b/>
                <w:bCs/>
                <w:i w:val="0"/>
                <w:iCs w:val="0"/>
                <w:caps w:val="0"/>
                <w:color w:val="333333"/>
                <w:spacing w:val="0"/>
                <w:sz w:val="24"/>
                <w:szCs w:val="24"/>
              </w:rPr>
              <w:t>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mc:AlternateContent>
                <mc:Choice Requires="wpsCustomData">
                  <wpsCustomData:diagonalParaType/>
                </mc:Choice>
              </mc:AlternateConten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lang w:val="en-US" w:eastAsia="zh-CN"/>
              </w:rPr>
              <w:t xml:space="preserve"> </w:t>
            </w:r>
            <w:r>
              <w:rPr>
                <w:rFonts w:hint="eastAsia" w:ascii="宋体" w:hAnsi="宋体" w:eastAsia="宋体" w:cs="宋体"/>
                <w:b/>
                <w:bCs/>
                <w:i w:val="0"/>
                <w:iCs w:val="0"/>
                <w:caps w:val="0"/>
                <w:color w:val="333333"/>
                <w:spacing w:val="0"/>
                <w:sz w:val="24"/>
                <w:szCs w:val="24"/>
              </w:rPr>
              <w:t>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退让类型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居住建筑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最小离界距离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（米）</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非居住建筑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最小离界距离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（米）</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旧区</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主要朝向</w:t>
            </w: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低层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多层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6</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中高层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9</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高层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15</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次要朝向</w:t>
            </w: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低层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2.5</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按消防间距控制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多层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按消防间距控制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中高层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4.5</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高层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6.5</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6.5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新区</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主要朝向</w:t>
            </w: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低层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4</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多层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7</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中高层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10</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高层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15</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次要朝向</w:t>
            </w: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低层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按消防间距控制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多层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3.5</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按消防间距控制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中高层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5</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14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25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高层</w:t>
            </w:r>
          </w:p>
        </w:tc>
        <w:tc>
          <w:tcPr>
            <w:tcW w:w="217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7.5</w:t>
            </w:r>
          </w:p>
        </w:tc>
        <w:tc>
          <w:tcPr>
            <w:tcW w:w="217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8</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注：1.旧区和新区按岳阳市城市总体规划确定；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2.市政府及岳阳县政府确定的旧改项目适用旧区标准。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3012" w:firstLineChars="1000"/>
        <w:jc w:val="both"/>
        <w:textAlignment w:val="center"/>
        <w:rPr>
          <w:rFonts w:hint="eastAsia" w:ascii="仿宋" w:hAnsi="仿宋" w:eastAsia="仿宋" w:cs="仿宋"/>
          <w:b/>
          <w:bCs/>
          <w:i w:val="0"/>
          <w:iCs w:val="0"/>
          <w:caps w:val="0"/>
          <w:color w:val="333333"/>
          <w:spacing w:val="0"/>
          <w:sz w:val="30"/>
          <w:szCs w:val="30"/>
          <w:shd w:val="clear" w:fill="FFFFFF"/>
        </w:rPr>
      </w:pPr>
      <w:r>
        <w:rPr>
          <w:rFonts w:hint="eastAsia" w:ascii="仿宋" w:hAnsi="仿宋" w:eastAsia="仿宋" w:cs="仿宋"/>
          <w:b/>
          <w:bCs/>
          <w:i w:val="0"/>
          <w:iCs w:val="0"/>
          <w:caps w:val="0"/>
          <w:color w:val="333333"/>
          <w:spacing w:val="0"/>
          <w:sz w:val="30"/>
          <w:szCs w:val="30"/>
          <w:shd w:val="clear" w:fill="FFFFFF"/>
        </w:rPr>
        <w:t>居住建筑山墙间距控制表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2108" w:firstLineChars="1000"/>
        <w:jc w:val="both"/>
        <w:textAlignment w:val="center"/>
        <w:rPr>
          <w:rFonts w:hint="eastAsia" w:ascii="仿宋" w:hAnsi="仿宋" w:eastAsia="仿宋" w:cs="仿宋"/>
          <w:b/>
          <w:bCs/>
          <w:i w:val="0"/>
          <w:iCs w:val="0"/>
          <w:caps w:val="0"/>
          <w:color w:val="333333"/>
          <w:spacing w:val="0"/>
          <w:sz w:val="21"/>
          <w:szCs w:val="21"/>
          <w:shd w:val="clear" w:fill="FFFFFF"/>
        </w:rPr>
      </w:pP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5268"/>
        <w:gridCol w:w="373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建筑类型</w:t>
            </w:r>
          </w:p>
        </w:tc>
        <w:tc>
          <w:tcPr>
            <w:tcW w:w="373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山墙间距（米）</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低层与低层</w:t>
            </w:r>
          </w:p>
        </w:tc>
        <w:tc>
          <w:tcPr>
            <w:tcW w:w="3731"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低层与多层</w:t>
            </w:r>
          </w:p>
        </w:tc>
        <w:tc>
          <w:tcPr>
            <w:tcW w:w="373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多层与多层</w:t>
            </w:r>
          </w:p>
        </w:tc>
        <w:tc>
          <w:tcPr>
            <w:tcW w:w="373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低层与中高层</w:t>
            </w:r>
          </w:p>
        </w:tc>
        <w:tc>
          <w:tcPr>
            <w:tcW w:w="3731"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多层与中高层</w:t>
            </w:r>
          </w:p>
        </w:tc>
        <w:tc>
          <w:tcPr>
            <w:tcW w:w="373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低层与高层</w:t>
            </w:r>
          </w:p>
        </w:tc>
        <w:tc>
          <w:tcPr>
            <w:tcW w:w="3731"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多层与高层</w:t>
            </w:r>
          </w:p>
        </w:tc>
        <w:tc>
          <w:tcPr>
            <w:tcW w:w="373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中高层与中高层</w:t>
            </w:r>
          </w:p>
        </w:tc>
        <w:tc>
          <w:tcPr>
            <w:tcW w:w="373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中高层与高层</w:t>
            </w:r>
          </w:p>
        </w:tc>
        <w:tc>
          <w:tcPr>
            <w:tcW w:w="373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高层（H≤50米）与高层（H≤50米）</w:t>
            </w:r>
          </w:p>
        </w:tc>
        <w:tc>
          <w:tcPr>
            <w:tcW w:w="373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高层（H≤50米）与高层（H＞50米）</w:t>
            </w:r>
          </w:p>
        </w:tc>
        <w:tc>
          <w:tcPr>
            <w:tcW w:w="3731"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26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高层（H＞50米）与高层（H＞50米）</w:t>
            </w:r>
          </w:p>
        </w:tc>
        <w:tc>
          <w:tcPr>
            <w:tcW w:w="3731"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仿宋" w:hAnsi="仿宋" w:eastAsia="仿宋" w:cs="仿宋"/>
          <w:b/>
          <w:bCs/>
          <w:i w:val="0"/>
          <w:iCs w:val="0"/>
          <w:caps w:val="0"/>
          <w:color w:val="333333"/>
          <w:spacing w:val="0"/>
          <w:sz w:val="30"/>
          <w:szCs w:val="30"/>
          <w:shd w:val="clear" w:fill="FFFFFF"/>
        </w:rPr>
      </w:pPr>
      <w:r>
        <w:rPr>
          <w:rFonts w:hint="eastAsia" w:ascii="仿宋" w:hAnsi="仿宋" w:eastAsia="仿宋" w:cs="仿宋"/>
          <w:b/>
          <w:bCs/>
          <w:i w:val="0"/>
          <w:iCs w:val="0"/>
          <w:caps w:val="0"/>
          <w:color w:val="333333"/>
          <w:spacing w:val="0"/>
          <w:sz w:val="30"/>
          <w:szCs w:val="30"/>
          <w:shd w:val="clear" w:fill="FFFFFF"/>
        </w:rPr>
        <w:t>    建筑退让城市道路红线距离表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仿宋" w:hAnsi="仿宋" w:eastAsia="仿宋" w:cs="仿宋"/>
          <w:i w:val="0"/>
          <w:iCs w:val="0"/>
          <w:caps w:val="0"/>
          <w:color w:val="333333"/>
          <w:spacing w:val="0"/>
          <w:sz w:val="21"/>
          <w:szCs w:val="21"/>
          <w:shd w:val="clear" w:fill="FFFFFF"/>
        </w:rPr>
      </w:pPr>
    </w:p>
    <w:tbl>
      <w:tblPr>
        <w:tblStyle w:val="3"/>
        <w:tblW w:w="8998"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034"/>
        <w:gridCol w:w="1870"/>
        <w:gridCol w:w="1426"/>
        <w:gridCol w:w="1247"/>
        <w:gridCol w:w="1218"/>
        <w:gridCol w:w="120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616" w:hRule="atLeast"/>
        </w:trPr>
        <w:tc>
          <w:tcPr>
            <w:tcW w:w="3904"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mc:AlternateContent>
              <mc:Choice Requires="wpsCustomData">
                <wpsCustomData:diagonals>
                  <wpsCustomData:diagonal from="34400" to="10000">
                    <wpsCustomData:border w:val="single" w:color="000000" w:sz="6" w:space="0"/>
                  </wpsCustomData:diagonal>
                  <wpsCustomData:diagonal from="30000" to="10000">
                    <wpsCustomData:border w:val="single" w:color="000000" w:sz="6" w:space="0"/>
                  </wpsCustomData:diagonal>
                  <wpsCustomData:diagonal from="10000" to="24400">
                    <wpsCustomData:border w:val="single" w:color="000000" w:sz="6" w:space="0"/>
                  </wpsCustomData:diagonal>
                </wpsCustomData:diagonals>
              </mc:Choice>
            </mc:AlternateContent>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道路类型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mc:AlternateContent>
                <mc:Choice Requires="wpsCustomData">
                  <wpsCustomData:diagonalParaType/>
                </mc:Choice>
              </mc:AlternateContent>
              <w:rPr>
                <w:rFonts w:hint="eastAsia" w:ascii="宋体" w:hAnsi="宋体" w:eastAsia="宋体" w:cs="宋体"/>
                <w:b/>
                <w:bCs/>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mc:AlternateContent>
                <mc:Choice Requires="wpsCustomData">
                  <wpsCustomData:diagonalParaType/>
                </mc:Choice>
              </mc:AlternateContent>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布置方式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退让距离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40" w:lineRule="auto"/>
              <w:ind w:left="0" w:right="0" w:firstLine="0"/>
              <w:jc w:val="center"/>
              <w:textAlignment w:val="center"/>
              <mc:AlternateContent>
                <mc:Choice Requires="wpsCustomData">
                  <wpsCustomData:diagonalParaType/>
                </mc:Choice>
              </mc:AlternateContent>
              <w:rPr>
                <w:rFonts w:hint="eastAsia" w:ascii="宋体" w:hAnsi="宋体" w:eastAsia="宋体" w:cs="宋体"/>
                <w:b/>
                <w:bCs/>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lang w:val="en-US" w:eastAsia="zh-CN"/>
              </w:rPr>
            </w:pPr>
            <w:r>
              <w:rPr>
                <w:rFonts w:hint="eastAsia" w:ascii="宋体" w:hAnsi="宋体" w:eastAsia="宋体" w:cs="宋体"/>
                <w:b/>
                <w:bCs/>
                <w:i w:val="0"/>
                <w:iCs w:val="0"/>
                <w:caps w:val="0"/>
                <w:color w:val="333333"/>
                <w:spacing w:val="0"/>
                <w:sz w:val="24"/>
                <w:szCs w:val="24"/>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lang w:val="en-US" w:eastAsia="zh-CN"/>
              </w:rPr>
              <w:t xml:space="preserve">     </w:t>
            </w:r>
            <w:r>
              <w:rPr>
                <w:rFonts w:hint="eastAsia" w:ascii="宋体" w:hAnsi="宋体" w:eastAsia="宋体" w:cs="宋体"/>
                <w:b/>
                <w:bCs/>
                <w:i w:val="0"/>
                <w:iCs w:val="0"/>
                <w:caps w:val="0"/>
                <w:color w:val="333333"/>
                <w:spacing w:val="0"/>
                <w:sz w:val="24"/>
                <w:szCs w:val="24"/>
              </w:rPr>
              <w:t>建筑类型</w:t>
            </w:r>
          </w:p>
        </w:tc>
        <w:tc>
          <w:tcPr>
            <w:tcW w:w="142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建筑高度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（H≤24米）</w:t>
            </w:r>
          </w:p>
        </w:tc>
        <w:tc>
          <w:tcPr>
            <w:tcW w:w="12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建筑高度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（24米＜H≤50米）</w:t>
            </w:r>
          </w:p>
        </w:tc>
        <w:tc>
          <w:tcPr>
            <w:tcW w:w="12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建筑高度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（50米＜H≤100米）</w:t>
            </w:r>
          </w:p>
        </w:tc>
        <w:tc>
          <w:tcPr>
            <w:tcW w:w="120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建筑高度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rPr>
              <w:t>（H＞100米）</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203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rPr>
              <w:t>支路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lang w:val="en-US" w:eastAsia="zh-CN"/>
              </w:rPr>
              <w:t>14≤</w:t>
            </w:r>
            <w:r>
              <w:rPr>
                <w:rFonts w:hint="eastAsia" w:ascii="仿宋" w:hAnsi="仿宋" w:eastAsia="仿宋" w:cs="仿宋"/>
                <w:b/>
                <w:bCs/>
                <w:i w:val="0"/>
                <w:iCs w:val="0"/>
                <w:caps w:val="0"/>
                <w:color w:val="333333"/>
                <w:spacing w:val="0"/>
                <w:sz w:val="24"/>
                <w:szCs w:val="24"/>
              </w:rPr>
              <w:t>W</w:t>
            </w:r>
            <w:r>
              <w:rPr>
                <w:rFonts w:hint="eastAsia" w:ascii="仿宋" w:hAnsi="仿宋" w:eastAsia="仿宋" w:cs="仿宋"/>
                <w:b/>
                <w:bCs/>
                <w:i w:val="0"/>
                <w:iCs w:val="0"/>
                <w:caps w:val="0"/>
                <w:color w:val="333333"/>
                <w:spacing w:val="0"/>
                <w:sz w:val="24"/>
                <w:szCs w:val="24"/>
                <w:lang w:val="en-US" w:eastAsia="zh-CN"/>
              </w:rPr>
              <w:t>≤20</w:t>
            </w:r>
            <w:r>
              <w:rPr>
                <w:rFonts w:hint="eastAsia" w:ascii="仿宋" w:hAnsi="仿宋" w:eastAsia="仿宋" w:cs="仿宋"/>
                <w:b/>
                <w:bCs/>
                <w:i w:val="0"/>
                <w:iCs w:val="0"/>
                <w:caps w:val="0"/>
                <w:color w:val="333333"/>
                <w:spacing w:val="0"/>
                <w:sz w:val="24"/>
                <w:szCs w:val="24"/>
              </w:rPr>
              <w:t>米</w:t>
            </w:r>
          </w:p>
        </w:tc>
        <w:tc>
          <w:tcPr>
            <w:tcW w:w="1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平行红线布置</w:t>
            </w:r>
          </w:p>
        </w:tc>
        <w:tc>
          <w:tcPr>
            <w:tcW w:w="142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6</w:t>
            </w:r>
          </w:p>
        </w:tc>
        <w:tc>
          <w:tcPr>
            <w:tcW w:w="12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10</w:t>
            </w:r>
          </w:p>
        </w:tc>
        <w:tc>
          <w:tcPr>
            <w:tcW w:w="12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12</w:t>
            </w:r>
          </w:p>
        </w:tc>
        <w:tc>
          <w:tcPr>
            <w:tcW w:w="120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203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p>
        </w:tc>
        <w:tc>
          <w:tcPr>
            <w:tcW w:w="1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垂直红线布置</w:t>
            </w:r>
          </w:p>
        </w:tc>
        <w:tc>
          <w:tcPr>
            <w:tcW w:w="142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w:t>
            </w:r>
          </w:p>
        </w:tc>
        <w:tc>
          <w:tcPr>
            <w:tcW w:w="12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8</w:t>
            </w:r>
          </w:p>
        </w:tc>
        <w:tc>
          <w:tcPr>
            <w:tcW w:w="12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8</w:t>
            </w:r>
          </w:p>
        </w:tc>
        <w:tc>
          <w:tcPr>
            <w:tcW w:w="120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203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rPr>
              <w:t>次干路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lang w:val="en-US" w:eastAsia="zh-CN"/>
              </w:rPr>
              <w:t>20米＜</w:t>
            </w:r>
            <w:bookmarkStart w:id="0" w:name="_GoBack"/>
            <w:bookmarkEnd w:id="0"/>
            <w:r>
              <w:rPr>
                <w:rFonts w:hint="eastAsia" w:ascii="仿宋" w:hAnsi="仿宋" w:eastAsia="仿宋" w:cs="仿宋"/>
                <w:b/>
                <w:bCs/>
                <w:i w:val="0"/>
                <w:iCs w:val="0"/>
                <w:caps w:val="0"/>
                <w:color w:val="333333"/>
                <w:spacing w:val="0"/>
                <w:sz w:val="24"/>
                <w:szCs w:val="24"/>
              </w:rPr>
              <w:t>W</w:t>
            </w:r>
            <w:r>
              <w:rPr>
                <w:rFonts w:hint="eastAsia" w:ascii="仿宋" w:hAnsi="仿宋" w:eastAsia="仿宋" w:cs="仿宋"/>
                <w:b/>
                <w:bCs/>
                <w:i w:val="0"/>
                <w:iCs w:val="0"/>
                <w:caps w:val="0"/>
                <w:color w:val="333333"/>
                <w:spacing w:val="0"/>
                <w:sz w:val="24"/>
                <w:szCs w:val="24"/>
                <w:lang w:val="en-US" w:eastAsia="zh-CN"/>
              </w:rPr>
              <w:t>≤40</w:t>
            </w:r>
            <w:r>
              <w:rPr>
                <w:rFonts w:hint="eastAsia" w:ascii="仿宋" w:hAnsi="仿宋" w:eastAsia="仿宋" w:cs="仿宋"/>
                <w:b/>
                <w:bCs/>
                <w:i w:val="0"/>
                <w:iCs w:val="0"/>
                <w:caps w:val="0"/>
                <w:color w:val="333333"/>
                <w:spacing w:val="0"/>
                <w:sz w:val="24"/>
                <w:szCs w:val="24"/>
              </w:rPr>
              <w:t>米</w:t>
            </w:r>
          </w:p>
        </w:tc>
        <w:tc>
          <w:tcPr>
            <w:tcW w:w="1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平行红线布置</w:t>
            </w:r>
          </w:p>
        </w:tc>
        <w:tc>
          <w:tcPr>
            <w:tcW w:w="142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9</w:t>
            </w:r>
          </w:p>
        </w:tc>
        <w:tc>
          <w:tcPr>
            <w:tcW w:w="12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12</w:t>
            </w:r>
          </w:p>
        </w:tc>
        <w:tc>
          <w:tcPr>
            <w:tcW w:w="12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15</w:t>
            </w:r>
          </w:p>
        </w:tc>
        <w:tc>
          <w:tcPr>
            <w:tcW w:w="120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203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p>
        </w:tc>
        <w:tc>
          <w:tcPr>
            <w:tcW w:w="1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垂直红线布置</w:t>
            </w:r>
          </w:p>
        </w:tc>
        <w:tc>
          <w:tcPr>
            <w:tcW w:w="142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6</w:t>
            </w:r>
          </w:p>
        </w:tc>
        <w:tc>
          <w:tcPr>
            <w:tcW w:w="12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10</w:t>
            </w:r>
          </w:p>
        </w:tc>
        <w:tc>
          <w:tcPr>
            <w:tcW w:w="12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12</w:t>
            </w:r>
          </w:p>
        </w:tc>
        <w:tc>
          <w:tcPr>
            <w:tcW w:w="120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2034"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rPr>
              <w:t>主干路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rPr>
              <w:t>W</w:t>
            </w:r>
            <w:r>
              <w:rPr>
                <w:rFonts w:hint="eastAsia" w:ascii="仿宋" w:hAnsi="仿宋" w:eastAsia="仿宋" w:cs="仿宋"/>
                <w:b/>
                <w:bCs/>
                <w:i w:val="0"/>
                <w:iCs w:val="0"/>
                <w:caps w:val="0"/>
                <w:color w:val="333333"/>
                <w:spacing w:val="0"/>
                <w:sz w:val="24"/>
                <w:szCs w:val="24"/>
                <w:lang w:val="en-US" w:eastAsia="zh-CN"/>
              </w:rPr>
              <w:t>＞40</w:t>
            </w:r>
            <w:r>
              <w:rPr>
                <w:rFonts w:hint="eastAsia" w:ascii="仿宋" w:hAnsi="仿宋" w:eastAsia="仿宋" w:cs="仿宋"/>
                <w:b/>
                <w:bCs/>
                <w:i w:val="0"/>
                <w:iCs w:val="0"/>
                <w:caps w:val="0"/>
                <w:color w:val="333333"/>
                <w:spacing w:val="0"/>
                <w:sz w:val="24"/>
                <w:szCs w:val="24"/>
              </w:rPr>
              <w:t>米</w:t>
            </w:r>
          </w:p>
        </w:tc>
        <w:tc>
          <w:tcPr>
            <w:tcW w:w="1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平行红线布置</w:t>
            </w:r>
          </w:p>
        </w:tc>
        <w:tc>
          <w:tcPr>
            <w:tcW w:w="142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12</w:t>
            </w:r>
          </w:p>
        </w:tc>
        <w:tc>
          <w:tcPr>
            <w:tcW w:w="12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15</w:t>
            </w:r>
          </w:p>
        </w:tc>
        <w:tc>
          <w:tcPr>
            <w:tcW w:w="12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20</w:t>
            </w:r>
          </w:p>
        </w:tc>
        <w:tc>
          <w:tcPr>
            <w:tcW w:w="120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exact"/>
        </w:trPr>
        <w:tc>
          <w:tcPr>
            <w:tcW w:w="2034"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333333"/>
                <w:spacing w:val="0"/>
                <w:sz w:val="24"/>
                <w:szCs w:val="24"/>
              </w:rPr>
            </w:pPr>
          </w:p>
        </w:tc>
        <w:tc>
          <w:tcPr>
            <w:tcW w:w="18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垂直红线布置</w:t>
            </w:r>
          </w:p>
        </w:tc>
        <w:tc>
          <w:tcPr>
            <w:tcW w:w="142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10</w:t>
            </w:r>
          </w:p>
        </w:tc>
        <w:tc>
          <w:tcPr>
            <w:tcW w:w="124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12</w:t>
            </w:r>
          </w:p>
        </w:tc>
        <w:tc>
          <w:tcPr>
            <w:tcW w:w="12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15</w:t>
            </w:r>
          </w:p>
        </w:tc>
        <w:tc>
          <w:tcPr>
            <w:tcW w:w="120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textAlignment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2108" w:firstLineChars="700"/>
        <w:jc w:val="both"/>
        <w:textAlignment w:val="center"/>
        <w:rPr>
          <w:rFonts w:hint="eastAsia" w:ascii="仿宋" w:hAnsi="仿宋" w:eastAsia="仿宋" w:cs="仿宋"/>
          <w:b/>
          <w:bCs/>
          <w:i w:val="0"/>
          <w:iCs w:val="0"/>
          <w:caps w:val="0"/>
          <w:color w:val="333333"/>
          <w:spacing w:val="0"/>
          <w:sz w:val="30"/>
          <w:szCs w:val="30"/>
          <w:shd w:val="clear" w:fill="FFFFFF"/>
        </w:rPr>
      </w:pPr>
      <w:r>
        <w:rPr>
          <w:rFonts w:hint="eastAsia" w:ascii="仿宋" w:hAnsi="仿宋" w:eastAsia="仿宋" w:cs="仿宋"/>
          <w:b/>
          <w:bCs/>
          <w:i w:val="0"/>
          <w:iCs w:val="0"/>
          <w:caps w:val="0"/>
          <w:color w:val="333333"/>
          <w:spacing w:val="0"/>
          <w:sz w:val="30"/>
          <w:szCs w:val="30"/>
          <w:shd w:val="clear" w:fill="FFFFFF"/>
        </w:rPr>
        <w:t>建筑退让城市道路交叉口距离表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1476" w:firstLineChars="700"/>
        <w:jc w:val="both"/>
        <w:textAlignment w:val="center"/>
        <w:rPr>
          <w:rFonts w:hint="eastAsia" w:ascii="仿宋" w:hAnsi="仿宋" w:eastAsia="仿宋" w:cs="仿宋"/>
          <w:b/>
          <w:bCs/>
          <w:i w:val="0"/>
          <w:iCs w:val="0"/>
          <w:caps w:val="0"/>
          <w:color w:val="333333"/>
          <w:spacing w:val="0"/>
          <w:sz w:val="21"/>
          <w:szCs w:val="21"/>
          <w:shd w:val="clear" w:fill="FFFFFF"/>
        </w:rPr>
      </w:pP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467"/>
        <w:gridCol w:w="1930"/>
        <w:gridCol w:w="2410"/>
        <w:gridCol w:w="217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4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rPr>
              <w:t>建筑高度（H）</w:t>
            </w:r>
          </w:p>
        </w:tc>
        <w:tc>
          <w:tcPr>
            <w:tcW w:w="19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主干路与主干路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交叉口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（米）</w:t>
            </w:r>
          </w:p>
        </w:tc>
        <w:tc>
          <w:tcPr>
            <w:tcW w:w="24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次干路与主（次）干路交叉口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（米）</w:t>
            </w:r>
          </w:p>
        </w:tc>
        <w:tc>
          <w:tcPr>
            <w:tcW w:w="21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支路与主（次、支路）交叉口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（米）</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24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H≤24米</w:t>
            </w:r>
          </w:p>
        </w:tc>
        <w:tc>
          <w:tcPr>
            <w:tcW w:w="19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9</w:t>
            </w:r>
          </w:p>
        </w:tc>
        <w:tc>
          <w:tcPr>
            <w:tcW w:w="24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9</w:t>
            </w:r>
          </w:p>
        </w:tc>
        <w:tc>
          <w:tcPr>
            <w:tcW w:w="21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24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24米＜H≤80米</w:t>
            </w:r>
          </w:p>
        </w:tc>
        <w:tc>
          <w:tcPr>
            <w:tcW w:w="19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12</w:t>
            </w:r>
          </w:p>
        </w:tc>
        <w:tc>
          <w:tcPr>
            <w:tcW w:w="24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10</w:t>
            </w:r>
          </w:p>
        </w:tc>
        <w:tc>
          <w:tcPr>
            <w:tcW w:w="21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2467"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H＞80米</w:t>
            </w:r>
          </w:p>
        </w:tc>
        <w:tc>
          <w:tcPr>
            <w:tcW w:w="19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30</w:t>
            </w:r>
          </w:p>
        </w:tc>
        <w:tc>
          <w:tcPr>
            <w:tcW w:w="24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25</w:t>
            </w:r>
          </w:p>
        </w:tc>
        <w:tc>
          <w:tcPr>
            <w:tcW w:w="217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rPr>
              <w:t>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977"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center"/>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i w:val="0"/>
                <w:iCs w:val="0"/>
                <w:caps w:val="0"/>
                <w:color w:val="333333"/>
                <w:spacing w:val="0"/>
                <w:sz w:val="24"/>
                <w:szCs w:val="24"/>
              </w:rPr>
              <w:t>说明：旧改项目和历史文化街区道路交叉口退让不满足上述控制要求的报国土空间规划委员会专题审议。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3313" w:firstLineChars="1100"/>
        <w:jc w:val="both"/>
        <w:textAlignment w:val="center"/>
        <w:rPr>
          <w:rFonts w:hint="eastAsia" w:ascii="仿宋" w:hAnsi="仿宋" w:eastAsia="仿宋" w:cs="仿宋"/>
          <w:b/>
          <w:bCs/>
          <w:i w:val="0"/>
          <w:iCs w:val="0"/>
          <w:caps w:val="0"/>
          <w:color w:val="333333"/>
          <w:spacing w:val="0"/>
          <w:sz w:val="30"/>
          <w:szCs w:val="30"/>
          <w:shd w:val="clear" w:fill="FFFFFF"/>
        </w:rPr>
      </w:pPr>
      <w:r>
        <w:rPr>
          <w:rFonts w:hint="eastAsia" w:ascii="仿宋" w:hAnsi="仿宋" w:eastAsia="仿宋" w:cs="仿宋"/>
          <w:b/>
          <w:bCs/>
          <w:i w:val="0"/>
          <w:iCs w:val="0"/>
          <w:caps w:val="0"/>
          <w:color w:val="333333"/>
          <w:spacing w:val="0"/>
          <w:sz w:val="30"/>
          <w:szCs w:val="30"/>
          <w:shd w:val="clear" w:fill="FFFFFF"/>
        </w:rPr>
        <w:t>岳阳市停车位配建标准</w:t>
      </w:r>
    </w:p>
    <w:tbl>
      <w:tblPr>
        <w:tblStyle w:val="3"/>
        <w:tblW w:w="8998"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413"/>
        <w:gridCol w:w="744"/>
        <w:gridCol w:w="31"/>
        <w:gridCol w:w="7"/>
        <w:gridCol w:w="1864"/>
        <w:gridCol w:w="3323"/>
        <w:gridCol w:w="161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1" w:hRule="exact"/>
        </w:trPr>
        <w:tc>
          <w:tcPr>
            <w:tcW w:w="141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建筑物性质</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分类（等级）</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单位</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rPr>
              <w:t>机动车车位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住宅</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lang w:val="en-US" w:eastAsia="zh-CN"/>
              </w:rPr>
              <w:t>一类</w:t>
            </w:r>
            <w:r>
              <w:rPr>
                <w:rFonts w:hint="eastAsia" w:ascii="仿宋" w:hAnsi="仿宋" w:eastAsia="仿宋" w:cs="仿宋"/>
                <w:b w:val="0"/>
                <w:bCs w:val="0"/>
                <w:i w:val="0"/>
                <w:iCs w:val="0"/>
                <w:caps w:val="0"/>
                <w:color w:val="auto"/>
                <w:spacing w:val="0"/>
                <w:sz w:val="18"/>
                <w:szCs w:val="18"/>
              </w:rPr>
              <w:t>住宅</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w:t>
            </w:r>
            <w:r>
              <w:rPr>
                <w:rFonts w:hint="eastAsia" w:ascii="仿宋" w:hAnsi="仿宋" w:eastAsia="仿宋" w:cs="仿宋"/>
                <w:b w:val="0"/>
                <w:bCs w:val="0"/>
                <w:i w:val="0"/>
                <w:iCs w:val="0"/>
                <w:caps w:val="0"/>
                <w:color w:val="auto"/>
                <w:spacing w:val="0"/>
                <w:sz w:val="18"/>
                <w:szCs w:val="18"/>
                <w:lang w:val="en-US" w:eastAsia="zh-CN"/>
              </w:rPr>
              <w:t>户</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lang w:eastAsia="zh-CN"/>
              </w:rPr>
            </w:pPr>
            <w:r>
              <w:rPr>
                <w:rFonts w:hint="eastAsia" w:ascii="仿宋" w:hAnsi="仿宋" w:eastAsia="仿宋" w:cs="仿宋"/>
                <w:b w:val="0"/>
                <w:bCs w:val="0"/>
                <w:i w:val="0"/>
                <w:iCs w:val="0"/>
                <w:caps w:val="0"/>
                <w:color w:val="auto"/>
                <w:spacing w:val="0"/>
                <w:sz w:val="18"/>
                <w:szCs w:val="18"/>
              </w:rPr>
              <w:t>1.</w:t>
            </w:r>
            <w:r>
              <w:rPr>
                <w:rFonts w:hint="eastAsia" w:ascii="仿宋" w:hAnsi="仿宋" w:eastAsia="仿宋" w:cs="仿宋"/>
                <w:b w:val="0"/>
                <w:bCs w:val="0"/>
                <w:i w:val="0"/>
                <w:iCs w:val="0"/>
                <w:caps w:val="0"/>
                <w:color w:val="auto"/>
                <w:spacing w:val="0"/>
                <w:sz w:val="18"/>
                <w:szCs w:val="18"/>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i w:val="0"/>
                <w:iCs w:val="0"/>
                <w:caps w:val="0"/>
                <w:color w:val="auto"/>
                <w:spacing w:val="0"/>
                <w:sz w:val="21"/>
                <w:szCs w:val="21"/>
              </w:rPr>
            </w:pPr>
          </w:p>
        </w:tc>
        <w:tc>
          <w:tcPr>
            <w:tcW w:w="782" w:type="dxa"/>
            <w:gridSpan w:val="3"/>
            <w:vMerge w:val="restart"/>
            <w:tcBorders>
              <w:top w:val="outset" w:color="000000" w:sz="6" w:space="0"/>
              <w:left w:val="outset" w:color="000000" w:sz="6" w:space="0"/>
              <w:right w:val="single" w:color="auto" w:sz="4"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default"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auto"/>
                <w:spacing w:val="0"/>
                <w:kern w:val="0"/>
                <w:sz w:val="18"/>
                <w:szCs w:val="18"/>
                <w:lang w:val="en-US" w:eastAsia="zh-CN" w:bidi="ar"/>
              </w:rPr>
              <w:t>二类住宅</w:t>
            </w:r>
          </w:p>
        </w:tc>
        <w:tc>
          <w:tcPr>
            <w:tcW w:w="1864" w:type="dxa"/>
            <w:vMerge w:val="restart"/>
            <w:tcBorders>
              <w:top w:val="outset" w:color="000000" w:sz="6" w:space="0"/>
              <w:left w:val="single" w:color="auto" w:sz="4"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default"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auto"/>
                <w:spacing w:val="0"/>
                <w:kern w:val="0"/>
                <w:sz w:val="18"/>
                <w:szCs w:val="18"/>
                <w:lang w:val="en-US" w:eastAsia="zh-CN" w:bidi="ar"/>
              </w:rPr>
              <w:t>中高层、多层</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2"/>
                <w:sz w:val="18"/>
                <w:szCs w:val="18"/>
                <w:lang w:val="en-US" w:eastAsia="zh-CN" w:bidi="ar-SA"/>
              </w:rPr>
            </w:pPr>
            <w:r>
              <w:rPr>
                <w:rFonts w:hint="eastAsia" w:ascii="仿宋" w:hAnsi="仿宋" w:eastAsia="仿宋" w:cs="仿宋"/>
                <w:b w:val="0"/>
                <w:bCs w:val="0"/>
                <w:i w:val="0"/>
                <w:iCs w:val="0"/>
                <w:caps w:val="0"/>
                <w:color w:val="auto"/>
                <w:spacing w:val="0"/>
                <w:sz w:val="18"/>
                <w:szCs w:val="18"/>
              </w:rPr>
              <w:t>车位/</w:t>
            </w:r>
            <w:r>
              <w:rPr>
                <w:rFonts w:hint="eastAsia" w:ascii="仿宋" w:hAnsi="仿宋" w:eastAsia="仿宋" w:cs="仿宋"/>
                <w:b w:val="0"/>
                <w:bCs w:val="0"/>
                <w:i w:val="0"/>
                <w:iCs w:val="0"/>
                <w:caps w:val="0"/>
                <w:color w:val="auto"/>
                <w:spacing w:val="0"/>
                <w:sz w:val="18"/>
                <w:szCs w:val="18"/>
                <w:lang w:val="en-US" w:eastAsia="zh-CN"/>
              </w:rPr>
              <w:t>户（100</w:t>
            </w:r>
            <w:r>
              <w:rPr>
                <w:rFonts w:hint="eastAsia" w:ascii="仿宋" w:hAnsi="仿宋" w:eastAsia="仿宋" w:cs="仿宋"/>
                <w:b w:val="0"/>
                <w:bCs w:val="0"/>
                <w:i w:val="0"/>
                <w:iCs w:val="0"/>
                <w:caps w:val="0"/>
                <w:color w:val="auto"/>
                <w:spacing w:val="0"/>
                <w:sz w:val="18"/>
                <w:szCs w:val="18"/>
              </w:rPr>
              <w:t>平方米</w:t>
            </w:r>
            <w:r>
              <w:rPr>
                <w:rFonts w:hint="eastAsia" w:ascii="仿宋" w:hAnsi="仿宋" w:eastAsia="仿宋" w:cs="仿宋"/>
                <w:b w:val="0"/>
                <w:bCs w:val="0"/>
                <w:i w:val="0"/>
                <w:iCs w:val="0"/>
                <w:caps w:val="0"/>
                <w:color w:val="auto"/>
                <w:spacing w:val="0"/>
                <w:sz w:val="18"/>
                <w:szCs w:val="18"/>
                <w:lang w:val="en-US" w:eastAsia="zh-CN"/>
              </w:rPr>
              <w:t>以下）</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default"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auto"/>
                <w:spacing w:val="0"/>
                <w:kern w:val="0"/>
                <w:sz w:val="18"/>
                <w:szCs w:val="18"/>
                <w:lang w:val="en-US" w:eastAsia="zh-CN" w:bidi="ar"/>
              </w:rPr>
              <w:t>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i w:val="0"/>
                <w:iCs w:val="0"/>
                <w:caps w:val="0"/>
                <w:color w:val="auto"/>
                <w:spacing w:val="0"/>
                <w:sz w:val="21"/>
                <w:szCs w:val="21"/>
              </w:rPr>
            </w:pPr>
          </w:p>
        </w:tc>
        <w:tc>
          <w:tcPr>
            <w:tcW w:w="782" w:type="dxa"/>
            <w:gridSpan w:val="3"/>
            <w:vMerge w:val="continue"/>
            <w:tcBorders>
              <w:left w:val="outset" w:color="000000" w:sz="6" w:space="0"/>
              <w:right w:val="single" w:color="auto" w:sz="4"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p>
        </w:tc>
        <w:tc>
          <w:tcPr>
            <w:tcW w:w="1864" w:type="dxa"/>
            <w:vMerge w:val="continue"/>
            <w:tcBorders>
              <w:left w:val="single" w:color="auto" w:sz="4"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sz w:val="18"/>
                <w:szCs w:val="18"/>
                <w:lang w:val="en-US" w:eastAsia="zh-CN"/>
              </w:rPr>
            </w:pP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车位/</w:t>
            </w:r>
            <w:r>
              <w:rPr>
                <w:rFonts w:hint="eastAsia" w:ascii="仿宋" w:hAnsi="仿宋" w:eastAsia="仿宋" w:cs="仿宋"/>
                <w:b w:val="0"/>
                <w:bCs w:val="0"/>
                <w:i w:val="0"/>
                <w:iCs w:val="0"/>
                <w:caps w:val="0"/>
                <w:color w:val="auto"/>
                <w:spacing w:val="0"/>
                <w:sz w:val="18"/>
                <w:szCs w:val="18"/>
                <w:lang w:val="en-US" w:eastAsia="zh-CN"/>
              </w:rPr>
              <w:t>户（100</w:t>
            </w:r>
            <w:r>
              <w:rPr>
                <w:rFonts w:hint="eastAsia" w:ascii="仿宋" w:hAnsi="仿宋" w:eastAsia="仿宋" w:cs="仿宋"/>
                <w:b w:val="0"/>
                <w:bCs w:val="0"/>
                <w:i w:val="0"/>
                <w:iCs w:val="0"/>
                <w:caps w:val="0"/>
                <w:color w:val="auto"/>
                <w:spacing w:val="0"/>
                <w:sz w:val="18"/>
                <w:szCs w:val="18"/>
              </w:rPr>
              <w:t>平方米</w:t>
            </w:r>
            <w:r>
              <w:rPr>
                <w:rFonts w:hint="eastAsia" w:ascii="仿宋" w:hAnsi="仿宋" w:eastAsia="仿宋" w:cs="仿宋"/>
                <w:b w:val="0"/>
                <w:bCs w:val="0"/>
                <w:i w:val="0"/>
                <w:iCs w:val="0"/>
                <w:caps w:val="0"/>
                <w:color w:val="auto"/>
                <w:spacing w:val="0"/>
                <w:sz w:val="18"/>
                <w:szCs w:val="18"/>
                <w:lang w:val="en-US" w:eastAsia="zh-CN"/>
              </w:rPr>
              <w:t>以上）</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1.05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i w:val="0"/>
                <w:iCs w:val="0"/>
                <w:caps w:val="0"/>
                <w:color w:val="auto"/>
                <w:spacing w:val="0"/>
                <w:sz w:val="21"/>
                <w:szCs w:val="21"/>
              </w:rPr>
            </w:pPr>
          </w:p>
        </w:tc>
        <w:tc>
          <w:tcPr>
            <w:tcW w:w="782" w:type="dxa"/>
            <w:gridSpan w:val="3"/>
            <w:vMerge w:val="continue"/>
            <w:tcBorders>
              <w:left w:val="outset" w:color="000000" w:sz="6" w:space="0"/>
              <w:right w:val="single" w:color="auto" w:sz="4"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p>
        </w:tc>
        <w:tc>
          <w:tcPr>
            <w:tcW w:w="1864" w:type="dxa"/>
            <w:tcBorders>
              <w:top w:val="outset" w:color="000000" w:sz="6" w:space="0"/>
              <w:left w:val="single" w:color="auto" w:sz="4"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高层</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车位/</w:t>
            </w:r>
            <w:r>
              <w:rPr>
                <w:rFonts w:hint="eastAsia" w:ascii="仿宋" w:hAnsi="仿宋" w:eastAsia="仿宋" w:cs="仿宋"/>
                <w:b w:val="0"/>
                <w:bCs w:val="0"/>
                <w:i w:val="0"/>
                <w:iCs w:val="0"/>
                <w:caps w:val="0"/>
                <w:color w:val="auto"/>
                <w:spacing w:val="0"/>
                <w:sz w:val="18"/>
                <w:szCs w:val="18"/>
                <w:lang w:val="en-US" w:eastAsia="zh-CN"/>
              </w:rPr>
              <w:t>户（100</w:t>
            </w:r>
            <w:r>
              <w:rPr>
                <w:rFonts w:hint="eastAsia" w:ascii="仿宋" w:hAnsi="仿宋" w:eastAsia="仿宋" w:cs="仿宋"/>
                <w:b w:val="0"/>
                <w:bCs w:val="0"/>
                <w:i w:val="0"/>
                <w:iCs w:val="0"/>
                <w:caps w:val="0"/>
                <w:color w:val="auto"/>
                <w:spacing w:val="0"/>
                <w:sz w:val="18"/>
                <w:szCs w:val="18"/>
              </w:rPr>
              <w:t>平方米</w:t>
            </w:r>
            <w:r>
              <w:rPr>
                <w:rFonts w:hint="eastAsia" w:ascii="仿宋" w:hAnsi="仿宋" w:eastAsia="仿宋" w:cs="仿宋"/>
                <w:b w:val="0"/>
                <w:bCs w:val="0"/>
                <w:i w:val="0"/>
                <w:iCs w:val="0"/>
                <w:caps w:val="0"/>
                <w:color w:val="auto"/>
                <w:spacing w:val="0"/>
                <w:sz w:val="18"/>
                <w:szCs w:val="18"/>
                <w:lang w:val="en-US" w:eastAsia="zh-CN"/>
              </w:rPr>
              <w:t>以上）</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1.05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i w:val="0"/>
                <w:iCs w:val="0"/>
                <w:caps w:val="0"/>
                <w:color w:val="auto"/>
                <w:spacing w:val="0"/>
                <w:sz w:val="21"/>
                <w:szCs w:val="21"/>
              </w:rPr>
            </w:pPr>
          </w:p>
        </w:tc>
        <w:tc>
          <w:tcPr>
            <w:tcW w:w="782" w:type="dxa"/>
            <w:gridSpan w:val="3"/>
            <w:vMerge w:val="continue"/>
            <w:tcBorders>
              <w:left w:val="outset" w:color="000000" w:sz="6" w:space="0"/>
              <w:right w:val="single" w:color="auto" w:sz="4"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p>
        </w:tc>
        <w:tc>
          <w:tcPr>
            <w:tcW w:w="1864" w:type="dxa"/>
            <w:tcBorders>
              <w:top w:val="outset" w:color="000000" w:sz="6" w:space="0"/>
              <w:left w:val="single" w:color="auto" w:sz="4"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auto"/>
                <w:spacing w:val="0"/>
                <w:sz w:val="18"/>
                <w:szCs w:val="18"/>
                <w:lang w:val="en-US" w:eastAsia="zh-CN"/>
              </w:rPr>
              <w:t>保障性住房</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2"/>
                <w:sz w:val="18"/>
                <w:szCs w:val="18"/>
                <w:lang w:val="en-US" w:eastAsia="zh-CN" w:bidi="ar-SA"/>
              </w:rPr>
            </w:pPr>
            <w:r>
              <w:rPr>
                <w:rFonts w:hint="eastAsia" w:ascii="仿宋" w:hAnsi="仿宋" w:eastAsia="仿宋" w:cs="仿宋"/>
                <w:b w:val="0"/>
                <w:bCs w:val="0"/>
                <w:i w:val="0"/>
                <w:iCs w:val="0"/>
                <w:caps w:val="0"/>
                <w:color w:val="auto"/>
                <w:spacing w:val="0"/>
                <w:sz w:val="18"/>
                <w:szCs w:val="18"/>
              </w:rPr>
              <w:t>车位/</w:t>
            </w:r>
            <w:r>
              <w:rPr>
                <w:rFonts w:hint="eastAsia" w:ascii="仿宋" w:hAnsi="仿宋" w:eastAsia="仿宋" w:cs="仿宋"/>
                <w:b w:val="0"/>
                <w:bCs w:val="0"/>
                <w:i w:val="0"/>
                <w:iCs w:val="0"/>
                <w:caps w:val="0"/>
                <w:color w:val="auto"/>
                <w:spacing w:val="0"/>
                <w:sz w:val="18"/>
                <w:szCs w:val="18"/>
                <w:lang w:val="en-US" w:eastAsia="zh-CN"/>
              </w:rPr>
              <w:t>户</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auto"/>
                <w:spacing w:val="0"/>
                <w:sz w:val="18"/>
                <w:szCs w:val="18"/>
                <w:lang w:val="en-US" w:eastAsia="zh-CN"/>
              </w:rPr>
              <w:t>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bottom w:val="single" w:color="auto" w:sz="4"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i w:val="0"/>
                <w:iCs w:val="0"/>
                <w:caps w:val="0"/>
                <w:color w:val="auto"/>
                <w:spacing w:val="0"/>
                <w:sz w:val="21"/>
                <w:szCs w:val="21"/>
              </w:rPr>
            </w:pPr>
          </w:p>
        </w:tc>
        <w:tc>
          <w:tcPr>
            <w:tcW w:w="782" w:type="dxa"/>
            <w:gridSpan w:val="3"/>
            <w:vMerge w:val="continue"/>
            <w:tcBorders>
              <w:left w:val="outset" w:color="000000" w:sz="6" w:space="0"/>
              <w:bottom w:val="single" w:color="auto" w:sz="4" w:space="0"/>
              <w:right w:val="single" w:color="auto" w:sz="4"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p>
        </w:tc>
        <w:tc>
          <w:tcPr>
            <w:tcW w:w="1864" w:type="dxa"/>
            <w:tcBorders>
              <w:top w:val="outset" w:color="000000" w:sz="6" w:space="0"/>
              <w:left w:val="single" w:color="auto" w:sz="4"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auto"/>
                <w:spacing w:val="0"/>
                <w:sz w:val="18"/>
                <w:szCs w:val="18"/>
                <w:lang w:val="en-US" w:eastAsia="zh-CN"/>
              </w:rPr>
              <w:t>拆迁安置房</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2"/>
                <w:sz w:val="18"/>
                <w:szCs w:val="18"/>
                <w:lang w:val="en-US" w:eastAsia="zh-CN" w:bidi="ar-SA"/>
              </w:rPr>
            </w:pPr>
            <w:r>
              <w:rPr>
                <w:rFonts w:hint="eastAsia" w:ascii="仿宋" w:hAnsi="仿宋" w:eastAsia="仿宋" w:cs="仿宋"/>
                <w:b w:val="0"/>
                <w:bCs w:val="0"/>
                <w:i w:val="0"/>
                <w:iCs w:val="0"/>
                <w:caps w:val="0"/>
                <w:color w:val="auto"/>
                <w:spacing w:val="0"/>
                <w:sz w:val="18"/>
                <w:szCs w:val="18"/>
              </w:rPr>
              <w:t>车位/</w:t>
            </w:r>
            <w:r>
              <w:rPr>
                <w:rFonts w:hint="eastAsia" w:ascii="仿宋" w:hAnsi="仿宋" w:eastAsia="仿宋" w:cs="仿宋"/>
                <w:b w:val="0"/>
                <w:bCs w:val="0"/>
                <w:i w:val="0"/>
                <w:iCs w:val="0"/>
                <w:caps w:val="0"/>
                <w:color w:val="auto"/>
                <w:spacing w:val="0"/>
                <w:sz w:val="18"/>
                <w:szCs w:val="18"/>
                <w:lang w:val="en-US" w:eastAsia="zh-CN"/>
              </w:rPr>
              <w:t>户</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auto"/>
                <w:spacing w:val="0"/>
                <w:sz w:val="18"/>
                <w:szCs w:val="18"/>
                <w:lang w:val="en-US" w:eastAsia="zh-CN"/>
              </w:rPr>
              <w:t>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lang w:val="en-US" w:eastAsia="zh-CN"/>
              </w:rPr>
            </w:pPr>
            <w:r>
              <w:rPr>
                <w:rFonts w:hint="eastAsia" w:ascii="仿宋" w:hAnsi="仿宋" w:eastAsia="仿宋" w:cs="仿宋"/>
                <w:b/>
                <w:bCs/>
                <w:i w:val="0"/>
                <w:iCs w:val="0"/>
                <w:caps w:val="0"/>
                <w:color w:val="auto"/>
                <w:spacing w:val="0"/>
                <w:sz w:val="21"/>
                <w:szCs w:val="21"/>
                <w:lang w:val="en-US" w:eastAsia="zh-CN"/>
              </w:rPr>
              <w:t>旅馆</w:t>
            </w:r>
          </w:p>
        </w:tc>
        <w:tc>
          <w:tcPr>
            <w:tcW w:w="775" w:type="dxa"/>
            <w:gridSpan w:val="2"/>
            <w:vMerge w:val="restart"/>
            <w:tcBorders>
              <w:top w:val="outset" w:color="000000" w:sz="6" w:space="0"/>
              <w:left w:val="outset" w:color="000000" w:sz="6" w:space="0"/>
              <w:bottom w:val="single" w:color="auto" w:sz="4" w:space="0"/>
              <w:right w:val="single" w:color="auto" w:sz="4" w:space="0"/>
            </w:tcBorders>
            <w:shd w:val="clear" w:color="auto" w:fill="FFFFFF"/>
            <w:tcMar>
              <w:top w:w="0" w:type="dxa"/>
            </w:tcMar>
            <w:vAlign w:val="center"/>
          </w:tcPr>
          <w:p>
            <w:pPr>
              <w:jc w:val="center"/>
              <w:rPr>
                <w:rFonts w:hint="eastAsia" w:ascii="仿宋" w:hAnsi="仿宋" w:eastAsia="仿宋" w:cs="仿宋"/>
                <w:i w:val="0"/>
                <w:iCs w:val="0"/>
                <w:caps w:val="0"/>
                <w:color w:val="auto"/>
                <w:spacing w:val="0"/>
                <w:sz w:val="18"/>
                <w:szCs w:val="18"/>
                <w:lang w:val="en-US" w:eastAsia="zh-CN"/>
              </w:rPr>
            </w:pPr>
            <w:r>
              <w:rPr>
                <w:rFonts w:hint="eastAsia" w:ascii="仿宋" w:hAnsi="仿宋" w:eastAsia="仿宋" w:cs="仿宋"/>
                <w:i w:val="0"/>
                <w:iCs w:val="0"/>
                <w:caps w:val="0"/>
                <w:color w:val="auto"/>
                <w:spacing w:val="0"/>
                <w:sz w:val="18"/>
                <w:szCs w:val="18"/>
                <w:lang w:val="en-US" w:eastAsia="zh-CN"/>
              </w:rPr>
              <w:t>一类</w:t>
            </w:r>
          </w:p>
        </w:tc>
        <w:tc>
          <w:tcPr>
            <w:tcW w:w="1871" w:type="dxa"/>
            <w:gridSpan w:val="2"/>
            <w:vMerge w:val="restart"/>
            <w:tcBorders>
              <w:top w:val="outset" w:color="000000" w:sz="6" w:space="0"/>
              <w:left w:val="single" w:color="auto" w:sz="4" w:space="0"/>
              <w:right w:val="outset" w:color="000000" w:sz="6" w:space="0"/>
            </w:tcBorders>
            <w:shd w:val="clear" w:color="auto" w:fill="FFFFFF"/>
            <w:tcMar>
              <w:top w:w="0" w:type="dxa"/>
            </w:tcMar>
            <w:vAlign w:val="center"/>
          </w:tcPr>
          <w:p>
            <w:pPr>
              <w:jc w:val="center"/>
              <w:rPr>
                <w:rFonts w:hint="default" w:ascii="仿宋" w:hAnsi="仿宋" w:eastAsia="仿宋" w:cs="仿宋"/>
                <w:i w:val="0"/>
                <w:iCs w:val="0"/>
                <w:caps w:val="0"/>
                <w:color w:val="auto"/>
                <w:spacing w:val="0"/>
                <w:sz w:val="18"/>
                <w:szCs w:val="18"/>
                <w:lang w:val="en-US" w:eastAsia="zh-CN"/>
              </w:rPr>
            </w:pPr>
            <w:r>
              <w:rPr>
                <w:rFonts w:hint="eastAsia" w:ascii="仿宋" w:hAnsi="仿宋" w:eastAsia="仿宋" w:cs="仿宋"/>
                <w:i w:val="0"/>
                <w:iCs w:val="0"/>
                <w:caps w:val="0"/>
                <w:color w:val="auto"/>
                <w:spacing w:val="0"/>
                <w:sz w:val="18"/>
                <w:szCs w:val="18"/>
                <w:lang w:val="en-US" w:eastAsia="zh-CN"/>
              </w:rPr>
              <w:t>三星级及以上宾馆</w:t>
            </w:r>
          </w:p>
        </w:tc>
        <w:tc>
          <w:tcPr>
            <w:tcW w:w="3323" w:type="dxa"/>
            <w:tcBorders>
              <w:left w:val="outset" w:color="000000" w:sz="6" w:space="0"/>
              <w:bottom w:val="single" w:color="auto" w:sz="4"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车位/客房</w:t>
            </w:r>
          </w:p>
        </w:tc>
        <w:tc>
          <w:tcPr>
            <w:tcW w:w="1616" w:type="dxa"/>
            <w:tcBorders>
              <w:top w:val="outset" w:color="000000" w:sz="6" w:space="0"/>
              <w:left w:val="outset" w:color="000000" w:sz="6" w:space="0"/>
              <w:bottom w:val="single" w:color="auto" w:sz="4"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333333"/>
                <w:spacing w:val="0"/>
                <w:sz w:val="18"/>
                <w:szCs w:val="18"/>
                <w:lang w:val="en-US" w:eastAsia="zh-CN"/>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775" w:type="dxa"/>
            <w:gridSpan w:val="2"/>
            <w:vMerge w:val="continue"/>
            <w:tcBorders>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auto"/>
                <w:spacing w:val="0"/>
                <w:sz w:val="18"/>
                <w:szCs w:val="18"/>
              </w:rPr>
            </w:pPr>
          </w:p>
        </w:tc>
        <w:tc>
          <w:tcPr>
            <w:tcW w:w="1871" w:type="dxa"/>
            <w:gridSpan w:val="2"/>
            <w:vMerge w:val="continue"/>
            <w:tcBorders>
              <w:left w:val="single" w:color="auto" w:sz="4" w:space="0"/>
              <w:right w:val="outset" w:color="000000" w:sz="6" w:space="0"/>
            </w:tcBorders>
            <w:shd w:val="clear" w:color="auto" w:fill="FFFFFF"/>
            <w:tcMar>
              <w:top w:w="0" w:type="dxa"/>
            </w:tcMar>
            <w:vAlign w:val="center"/>
          </w:tcPr>
          <w:p>
            <w:pPr>
              <w:jc w:val="center"/>
              <w:rPr>
                <w:rFonts w:hint="eastAsia" w:ascii="仿宋" w:hAnsi="仿宋" w:eastAsia="仿宋" w:cs="仿宋"/>
                <w:i w:val="0"/>
                <w:iCs w:val="0"/>
                <w:caps w:val="0"/>
                <w:color w:val="auto"/>
                <w:spacing w:val="0"/>
                <w:sz w:val="18"/>
                <w:szCs w:val="18"/>
              </w:rPr>
            </w:pPr>
          </w:p>
        </w:tc>
        <w:tc>
          <w:tcPr>
            <w:tcW w:w="3323" w:type="dxa"/>
            <w:tcBorders>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w:t>
            </w:r>
            <w:r>
              <w:rPr>
                <w:rFonts w:hint="eastAsia" w:ascii="仿宋" w:hAnsi="仿宋" w:eastAsia="仿宋" w:cs="仿宋"/>
                <w:b w:val="0"/>
                <w:bCs w:val="0"/>
                <w:i w:val="0"/>
                <w:iCs w:val="0"/>
                <w:caps w:val="0"/>
                <w:color w:val="auto"/>
                <w:spacing w:val="0"/>
                <w:sz w:val="18"/>
                <w:szCs w:val="18"/>
                <w:lang w:val="en-US" w:eastAsia="zh-CN"/>
              </w:rPr>
              <w:t>商业</w:t>
            </w:r>
            <w:r>
              <w:rPr>
                <w:rFonts w:hint="eastAsia" w:ascii="仿宋" w:hAnsi="仿宋" w:eastAsia="仿宋" w:cs="仿宋"/>
                <w:b w:val="0"/>
                <w:bCs w:val="0"/>
                <w:i w:val="0"/>
                <w:iCs w:val="0"/>
                <w:caps w:val="0"/>
                <w:color w:val="auto"/>
                <w:spacing w:val="0"/>
                <w:sz w:val="18"/>
                <w:szCs w:val="18"/>
              </w:rPr>
              <w:t>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kern w:val="0"/>
                <w:sz w:val="18"/>
                <w:szCs w:val="18"/>
                <w:lang w:val="en-US" w:eastAsia="zh-CN" w:bidi="ar"/>
              </w:rPr>
            </w:pPr>
            <w:r>
              <w:rPr>
                <w:rFonts w:hint="eastAsia" w:ascii="仿宋" w:hAnsi="仿宋" w:eastAsia="仿宋" w:cs="仿宋"/>
                <w:b w:val="0"/>
                <w:bCs w:val="0"/>
                <w:i w:val="0"/>
                <w:iCs w:val="0"/>
                <w:caps w:val="0"/>
                <w:color w:val="333333"/>
                <w:spacing w:val="0"/>
                <w:sz w:val="18"/>
                <w:szCs w:val="18"/>
                <w:lang w:val="en-US" w:eastAsia="zh-CN"/>
              </w:rPr>
              <w:t>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7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二类</w:t>
            </w:r>
          </w:p>
        </w:tc>
        <w:tc>
          <w:tcPr>
            <w:tcW w:w="187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其他旅馆</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车位/客房</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333333"/>
                <w:spacing w:val="0"/>
                <w:sz w:val="18"/>
                <w:szCs w:val="18"/>
                <w:lang w:val="en-US" w:eastAsia="zh-CN"/>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办公</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i w:val="0"/>
                <w:iCs w:val="0"/>
                <w:caps w:val="0"/>
                <w:color w:val="auto"/>
                <w:spacing w:val="0"/>
                <w:sz w:val="18"/>
                <w:szCs w:val="18"/>
              </w:rPr>
              <w:t>商</w:t>
            </w:r>
            <w:r>
              <w:rPr>
                <w:rFonts w:hint="eastAsia" w:ascii="仿宋" w:hAnsi="仿宋" w:eastAsia="仿宋" w:cs="仿宋"/>
                <w:b w:val="0"/>
                <w:bCs w:val="0"/>
                <w:i w:val="0"/>
                <w:iCs w:val="0"/>
                <w:caps w:val="0"/>
                <w:color w:val="auto"/>
                <w:spacing w:val="0"/>
                <w:sz w:val="18"/>
                <w:szCs w:val="18"/>
                <w:lang w:val="en-US" w:eastAsia="zh-CN"/>
              </w:rPr>
              <w:t>业</w:t>
            </w:r>
            <w:r>
              <w:rPr>
                <w:rFonts w:hint="eastAsia" w:ascii="仿宋" w:hAnsi="仿宋" w:eastAsia="仿宋" w:cs="仿宋"/>
                <w:b w:val="0"/>
                <w:bCs w:val="0"/>
                <w:i w:val="0"/>
                <w:iCs w:val="0"/>
                <w:caps w:val="0"/>
                <w:color w:val="auto"/>
                <w:spacing w:val="0"/>
                <w:sz w:val="18"/>
                <w:szCs w:val="18"/>
              </w:rPr>
              <w:t>办公</w:t>
            </w:r>
            <w:r>
              <w:rPr>
                <w:rFonts w:hint="eastAsia" w:ascii="仿宋" w:hAnsi="仿宋" w:eastAsia="仿宋" w:cs="仿宋"/>
                <w:b w:val="0"/>
                <w:bCs w:val="0"/>
                <w:i w:val="0"/>
                <w:iCs w:val="0"/>
                <w:caps w:val="0"/>
                <w:color w:val="auto"/>
                <w:spacing w:val="0"/>
                <w:sz w:val="18"/>
                <w:szCs w:val="18"/>
                <w:lang w:eastAsia="zh-CN"/>
              </w:rPr>
              <w:t>（</w:t>
            </w:r>
            <w:r>
              <w:rPr>
                <w:rFonts w:hint="eastAsia" w:ascii="仿宋" w:hAnsi="仿宋" w:eastAsia="仿宋" w:cs="仿宋"/>
                <w:b w:val="0"/>
                <w:bCs w:val="0"/>
                <w:i w:val="0"/>
                <w:iCs w:val="0"/>
                <w:caps w:val="0"/>
                <w:color w:val="auto"/>
                <w:spacing w:val="0"/>
                <w:sz w:val="18"/>
                <w:szCs w:val="18"/>
                <w:lang w:val="en-US" w:eastAsia="zh-CN"/>
              </w:rPr>
              <w:t>写字楼</w:t>
            </w:r>
            <w:r>
              <w:rPr>
                <w:rFonts w:hint="eastAsia" w:ascii="仿宋" w:hAnsi="仿宋" w:eastAsia="仿宋" w:cs="仿宋"/>
                <w:b w:val="0"/>
                <w:bCs w:val="0"/>
                <w:i w:val="0"/>
                <w:iCs w:val="0"/>
                <w:caps w:val="0"/>
                <w:color w:val="auto"/>
                <w:spacing w:val="0"/>
                <w:sz w:val="18"/>
                <w:szCs w:val="18"/>
                <w:lang w:eastAsia="zh-CN"/>
              </w:rPr>
              <w:t>）</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县级及县级以上政府机关办公</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lang w:val="en-US" w:eastAsia="zh-CN"/>
              </w:rPr>
              <w:t>县级以下政府机关办公</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lang w:val="en-US" w:eastAsia="zh-CN"/>
              </w:rPr>
              <w:t>一般</w:t>
            </w:r>
            <w:r>
              <w:rPr>
                <w:rFonts w:hint="eastAsia" w:ascii="仿宋" w:hAnsi="仿宋" w:eastAsia="仿宋" w:cs="仿宋"/>
                <w:b w:val="0"/>
                <w:bCs w:val="0"/>
                <w:i w:val="0"/>
                <w:iCs w:val="0"/>
                <w:caps w:val="0"/>
                <w:color w:val="auto"/>
                <w:spacing w:val="0"/>
                <w:sz w:val="18"/>
                <w:szCs w:val="18"/>
              </w:rPr>
              <w:t>办公</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商业场所</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lang w:val="en-US" w:eastAsia="zh-CN"/>
              </w:rPr>
              <w:t>市级</w:t>
            </w:r>
            <w:r>
              <w:rPr>
                <w:rFonts w:hint="eastAsia" w:ascii="仿宋" w:hAnsi="仿宋" w:eastAsia="仿宋" w:cs="仿宋"/>
                <w:b w:val="0"/>
                <w:bCs w:val="0"/>
                <w:i w:val="0"/>
                <w:iCs w:val="0"/>
                <w:caps w:val="0"/>
                <w:color w:val="auto"/>
                <w:spacing w:val="0"/>
                <w:sz w:val="18"/>
                <w:szCs w:val="18"/>
              </w:rPr>
              <w:t>商业中心</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lang w:val="en-US" w:eastAsia="zh-CN"/>
              </w:rPr>
              <w:t>一般地区</w:t>
            </w:r>
            <w:r>
              <w:rPr>
                <w:rFonts w:hint="eastAsia" w:ascii="仿宋" w:hAnsi="仿宋" w:eastAsia="仿宋" w:cs="仿宋"/>
                <w:b w:val="0"/>
                <w:bCs w:val="0"/>
                <w:i w:val="0"/>
                <w:iCs w:val="0"/>
                <w:caps w:val="0"/>
                <w:color w:val="auto"/>
                <w:spacing w:val="0"/>
                <w:sz w:val="18"/>
                <w:szCs w:val="18"/>
              </w:rPr>
              <w:t>商业中心</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普通零售网点</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color w:val="auto"/>
                <w:kern w:val="0"/>
                <w:sz w:val="18"/>
                <w:szCs w:val="18"/>
                <w:lang w:val="en-US" w:eastAsia="zh-CN" w:bidi="ar"/>
              </w:rPr>
            </w:pPr>
            <w:r>
              <w:rPr>
                <w:rFonts w:hint="eastAsia" w:ascii="仿宋" w:hAnsi="仿宋" w:eastAsia="仿宋" w:cs="仿宋"/>
                <w:b w:val="0"/>
                <w:bCs w:val="0"/>
                <w:i w:val="0"/>
                <w:iCs w:val="0"/>
                <w:caps w:val="0"/>
                <w:color w:val="auto"/>
                <w:spacing w:val="0"/>
                <w:sz w:val="18"/>
                <w:szCs w:val="18"/>
              </w:rPr>
              <w:t>餐饮</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color w:val="auto"/>
                <w:kern w:val="0"/>
                <w:sz w:val="18"/>
                <w:szCs w:val="18"/>
                <w:lang w:val="en-US" w:eastAsia="zh-CN" w:bidi="ar"/>
              </w:rPr>
            </w:pPr>
            <w:r>
              <w:rPr>
                <w:rFonts w:hint="eastAsia" w:ascii="仿宋" w:hAnsi="仿宋" w:eastAsia="仿宋" w:cs="仿宋"/>
                <w:b w:val="0"/>
                <w:bCs w:val="0"/>
                <w:i w:val="0"/>
                <w:iCs w:val="0"/>
                <w:caps w:val="0"/>
                <w:color w:val="auto"/>
                <w:spacing w:val="0"/>
                <w:sz w:val="18"/>
                <w:szCs w:val="18"/>
              </w:rPr>
              <w:t>娱乐</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市场</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批发交易市场</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lang w:eastAsia="zh-CN"/>
              </w:rPr>
            </w:pPr>
            <w:r>
              <w:rPr>
                <w:rFonts w:hint="eastAsia" w:ascii="仿宋" w:hAnsi="仿宋" w:eastAsia="仿宋" w:cs="仿宋"/>
                <w:b w:val="0"/>
                <w:bCs w:val="0"/>
                <w:i w:val="0"/>
                <w:iCs w:val="0"/>
                <w:caps w:val="0"/>
                <w:color w:val="auto"/>
                <w:spacing w:val="0"/>
                <w:sz w:val="18"/>
                <w:szCs w:val="18"/>
                <w:lang w:val="en-US" w:eastAsia="zh-CN"/>
              </w:rPr>
              <w:t>超市</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医院</w:t>
            </w:r>
          </w:p>
        </w:tc>
        <w:tc>
          <w:tcPr>
            <w:tcW w:w="7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一类</w:t>
            </w:r>
          </w:p>
        </w:tc>
        <w:tc>
          <w:tcPr>
            <w:tcW w:w="187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市、区级医院</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1</w:t>
            </w:r>
            <w:r>
              <w:rPr>
                <w:rFonts w:hint="eastAsia" w:ascii="仿宋" w:hAnsi="仿宋" w:eastAsia="仿宋" w:cs="仿宋"/>
                <w:b w:val="0"/>
                <w:bCs w:val="0"/>
                <w:i w:val="0"/>
                <w:iCs w:val="0"/>
                <w:caps w:val="0"/>
                <w:color w:val="auto"/>
                <w:spacing w:val="0"/>
                <w:sz w:val="18"/>
                <w:szCs w:val="18"/>
              </w:rPr>
              <w:t>.</w:t>
            </w:r>
            <w:r>
              <w:rPr>
                <w:rFonts w:hint="eastAsia" w:ascii="仿宋" w:hAnsi="仿宋" w:eastAsia="仿宋" w:cs="仿宋"/>
                <w:b w:val="0"/>
                <w:bCs w:val="0"/>
                <w:i w:val="0"/>
                <w:iCs w:val="0"/>
                <w:caps w:val="0"/>
                <w:color w:val="auto"/>
                <w:spacing w:val="0"/>
                <w:sz w:val="18"/>
                <w:szCs w:val="18"/>
                <w:lang w:val="en-US" w:eastAsia="zh-CN"/>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7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二类</w:t>
            </w:r>
          </w:p>
        </w:tc>
        <w:tc>
          <w:tcPr>
            <w:tcW w:w="1871"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其他医院、诊疗所</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0</w:t>
            </w:r>
            <w:r>
              <w:rPr>
                <w:rFonts w:hint="eastAsia" w:ascii="仿宋" w:hAnsi="仿宋" w:eastAsia="仿宋" w:cs="仿宋"/>
                <w:b w:val="0"/>
                <w:bCs w:val="0"/>
                <w:i w:val="0"/>
                <w:iCs w:val="0"/>
                <w:caps w:val="0"/>
                <w:color w:val="auto"/>
                <w:spacing w:val="0"/>
                <w:sz w:val="18"/>
                <w:szCs w:val="18"/>
              </w:rPr>
              <w:t>.</w:t>
            </w:r>
            <w:r>
              <w:rPr>
                <w:rFonts w:hint="eastAsia" w:ascii="仿宋" w:hAnsi="仿宋" w:eastAsia="仿宋" w:cs="仿宋"/>
                <w:b w:val="0"/>
                <w:bCs w:val="0"/>
                <w:i w:val="0"/>
                <w:iCs w:val="0"/>
                <w:caps w:val="0"/>
                <w:color w:val="auto"/>
                <w:spacing w:val="0"/>
                <w:sz w:val="18"/>
                <w:szCs w:val="18"/>
                <w:lang w:val="en-US" w:eastAsia="zh-CN"/>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文化会展</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博物馆、图书馆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电影院、剧院</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科技馆、展览馆</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firstLine="0" w:firstLineChars="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车位/100平方米建筑面积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体育场馆</w:t>
            </w:r>
          </w:p>
        </w:tc>
        <w:tc>
          <w:tcPr>
            <w:tcW w:w="74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一类</w:t>
            </w:r>
          </w:p>
        </w:tc>
        <w:tc>
          <w:tcPr>
            <w:tcW w:w="1902"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体育场≥5000座</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车位/100座</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3.5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74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二类</w:t>
            </w:r>
          </w:p>
        </w:tc>
        <w:tc>
          <w:tcPr>
            <w:tcW w:w="1902"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体育场＜5000座</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车位/100座</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744"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三类</w:t>
            </w:r>
          </w:p>
        </w:tc>
        <w:tc>
          <w:tcPr>
            <w:tcW w:w="1902"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娱乐性体育设施</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车位/100座</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lang w:val="en-US" w:eastAsia="zh-CN"/>
              </w:rPr>
            </w:pPr>
            <w:r>
              <w:rPr>
                <w:rFonts w:hint="eastAsia" w:ascii="仿宋" w:hAnsi="仿宋" w:eastAsia="仿宋" w:cs="仿宋"/>
                <w:b/>
                <w:bCs/>
                <w:i w:val="0"/>
                <w:iCs w:val="0"/>
                <w:caps w:val="0"/>
                <w:color w:val="auto"/>
                <w:spacing w:val="0"/>
                <w:sz w:val="21"/>
                <w:szCs w:val="21"/>
                <w:lang w:val="en-US" w:eastAsia="zh-CN"/>
              </w:rPr>
              <w:t>影剧院</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电影院</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车位/100座</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continue"/>
            <w:tcBorders>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剧院</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车位/100座</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3.5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游览场所</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自然风景公园</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车位/1公顷占地面积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lang w:val="en-US" w:eastAsia="zh-CN"/>
              </w:rPr>
              <w:t>其他</w:t>
            </w:r>
            <w:r>
              <w:rPr>
                <w:rFonts w:hint="eastAsia" w:ascii="仿宋" w:hAnsi="仿宋" w:eastAsia="仿宋" w:cs="仿宋"/>
                <w:b w:val="0"/>
                <w:bCs w:val="0"/>
                <w:i w:val="0"/>
                <w:iCs w:val="0"/>
                <w:caps w:val="0"/>
                <w:color w:val="auto"/>
                <w:spacing w:val="0"/>
                <w:sz w:val="18"/>
                <w:szCs w:val="18"/>
              </w:rPr>
              <w:t>公园</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车位/1公顷占地面积</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lang w:eastAsia="zh-CN"/>
              </w:rPr>
            </w:pPr>
            <w:r>
              <w:rPr>
                <w:rFonts w:hint="eastAsia" w:ascii="仿宋" w:hAnsi="仿宋" w:eastAsia="仿宋" w:cs="仿宋"/>
                <w:b/>
                <w:bCs/>
                <w:i w:val="0"/>
                <w:iCs w:val="0"/>
                <w:caps w:val="0"/>
                <w:color w:val="auto"/>
                <w:spacing w:val="0"/>
                <w:sz w:val="21"/>
                <w:szCs w:val="21"/>
              </w:rPr>
              <w:t>交通</w:t>
            </w:r>
            <w:r>
              <w:rPr>
                <w:rFonts w:hint="eastAsia" w:ascii="仿宋" w:hAnsi="仿宋" w:eastAsia="仿宋" w:cs="仿宋"/>
                <w:b/>
                <w:bCs/>
                <w:i w:val="0"/>
                <w:iCs w:val="0"/>
                <w:caps w:val="0"/>
                <w:color w:val="auto"/>
                <w:spacing w:val="0"/>
                <w:sz w:val="21"/>
                <w:szCs w:val="21"/>
                <w:lang w:val="en-US" w:eastAsia="zh-CN"/>
              </w:rPr>
              <w:t>建筑</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火车站</w:t>
            </w:r>
          </w:p>
        </w:tc>
        <w:tc>
          <w:tcPr>
            <w:tcW w:w="3323" w:type="dxa"/>
            <w:vMerge w:val="restart"/>
            <w:tcBorders>
              <w:top w:val="outset" w:color="000000" w:sz="6" w:space="0"/>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车位/高峰日每百旅客</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客运码头</w:t>
            </w:r>
          </w:p>
        </w:tc>
        <w:tc>
          <w:tcPr>
            <w:tcW w:w="3323" w:type="dxa"/>
            <w:vMerge w:val="continue"/>
            <w:tcBorders>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auto"/>
                <w:spacing w:val="0"/>
                <w:sz w:val="30"/>
                <w:szCs w:val="30"/>
                <w:shd w:val="clear" w:fill="FFFFFF"/>
              </w:rPr>
            </w:pP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2.2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rPr>
              <w:t>客运机场</w:t>
            </w:r>
          </w:p>
        </w:tc>
        <w:tc>
          <w:tcPr>
            <w:tcW w:w="3323" w:type="dxa"/>
            <w:vMerge w:val="continue"/>
            <w:tcBorders>
              <w:left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auto"/>
                <w:spacing w:val="0"/>
                <w:sz w:val="30"/>
                <w:szCs w:val="30"/>
                <w:shd w:val="clear" w:fill="FFFFFF"/>
              </w:rPr>
            </w:pP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i w:val="0"/>
                <w:iCs w:val="0"/>
                <w:caps w:val="0"/>
                <w:color w:val="auto"/>
                <w:spacing w:val="0"/>
                <w:sz w:val="18"/>
                <w:szCs w:val="18"/>
                <w:lang w:val="en-US" w:eastAsia="zh-CN"/>
              </w:rPr>
            </w:pPr>
            <w:r>
              <w:rPr>
                <w:rFonts w:hint="eastAsia" w:ascii="仿宋" w:hAnsi="仿宋" w:eastAsia="仿宋" w:cs="仿宋"/>
                <w:b w:val="0"/>
                <w:bCs w:val="0"/>
                <w:i w:val="0"/>
                <w:iCs w:val="0"/>
                <w:caps w:val="0"/>
                <w:color w:val="auto"/>
                <w:spacing w:val="0"/>
                <w:sz w:val="18"/>
                <w:szCs w:val="18"/>
              </w:rPr>
              <w:t>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汽车站</w:t>
            </w:r>
          </w:p>
        </w:tc>
        <w:tc>
          <w:tcPr>
            <w:tcW w:w="3323" w:type="dxa"/>
            <w:vMerge w:val="continue"/>
            <w:tcBorders>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textAlignment w:val="center"/>
              <w:rPr>
                <w:rFonts w:hint="eastAsia" w:ascii="仿宋" w:hAnsi="仿宋" w:eastAsia="仿宋" w:cs="仿宋"/>
                <w:i w:val="0"/>
                <w:iCs w:val="0"/>
                <w:caps w:val="0"/>
                <w:color w:val="auto"/>
                <w:spacing w:val="0"/>
                <w:sz w:val="30"/>
                <w:szCs w:val="30"/>
                <w:shd w:val="clear" w:fill="FFFFFF"/>
              </w:rPr>
            </w:pP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lang w:val="en-US" w:eastAsia="zh-CN"/>
              </w:rPr>
              <w:t>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bCs/>
                <w:color w:val="auto"/>
                <w:sz w:val="21"/>
                <w:szCs w:val="21"/>
              </w:rPr>
            </w:pPr>
            <w:r>
              <w:rPr>
                <w:rFonts w:hint="eastAsia" w:ascii="仿宋" w:hAnsi="仿宋" w:eastAsia="仿宋" w:cs="仿宋"/>
                <w:b/>
                <w:bCs/>
                <w:i w:val="0"/>
                <w:iCs w:val="0"/>
                <w:caps w:val="0"/>
                <w:color w:val="auto"/>
                <w:spacing w:val="0"/>
                <w:sz w:val="21"/>
                <w:szCs w:val="21"/>
              </w:rPr>
              <w:t>学校</w:t>
            </w: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lang w:val="en-US" w:eastAsia="zh-CN"/>
              </w:rPr>
              <w:t>幼儿园、</w:t>
            </w:r>
            <w:r>
              <w:rPr>
                <w:rFonts w:hint="eastAsia" w:ascii="仿宋" w:hAnsi="仿宋" w:eastAsia="仿宋" w:cs="仿宋"/>
                <w:b w:val="0"/>
                <w:bCs w:val="0"/>
                <w:i w:val="0"/>
                <w:iCs w:val="0"/>
                <w:caps w:val="0"/>
                <w:color w:val="auto"/>
                <w:spacing w:val="0"/>
                <w:sz w:val="18"/>
                <w:szCs w:val="18"/>
              </w:rPr>
              <w:t>小学</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车位/班</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lang w:val="en-US" w:eastAsia="zh-CN"/>
              </w:rPr>
              <w:t>8</w:t>
            </w:r>
            <w:r>
              <w:rPr>
                <w:rFonts w:hint="eastAsia" w:ascii="仿宋" w:hAnsi="仿宋" w:eastAsia="仿宋" w:cs="仿宋"/>
                <w:b w:val="0"/>
                <w:bCs w:val="0"/>
                <w:i w:val="0"/>
                <w:iCs w:val="0"/>
                <w:caps w:val="0"/>
                <w:color w:val="auto"/>
                <w:spacing w:val="0"/>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中学</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车位/班</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lang w:val="en-US" w:eastAsia="zh-CN"/>
              </w:rPr>
              <w:t>8</w:t>
            </w:r>
            <w:r>
              <w:rPr>
                <w:rFonts w:hint="eastAsia" w:ascii="仿宋" w:hAnsi="仿宋" w:eastAsia="仿宋" w:cs="仿宋"/>
                <w:b w:val="0"/>
                <w:bCs w:val="0"/>
                <w:i w:val="0"/>
                <w:iCs w:val="0"/>
                <w:caps w:val="0"/>
                <w:color w:val="auto"/>
                <w:spacing w:val="0"/>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1413"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ascii="仿宋" w:hAnsi="仿宋" w:eastAsia="仿宋" w:cs="仿宋"/>
                <w:b/>
                <w:bCs/>
                <w:i w:val="0"/>
                <w:iCs w:val="0"/>
                <w:caps w:val="0"/>
                <w:color w:val="auto"/>
                <w:spacing w:val="0"/>
                <w:sz w:val="21"/>
                <w:szCs w:val="21"/>
              </w:rPr>
            </w:pPr>
          </w:p>
        </w:tc>
        <w:tc>
          <w:tcPr>
            <w:tcW w:w="2646"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i w:val="0"/>
                <w:iCs w:val="0"/>
                <w:caps w:val="0"/>
                <w:color w:val="auto"/>
                <w:spacing w:val="0"/>
                <w:sz w:val="18"/>
                <w:szCs w:val="18"/>
                <w:lang w:val="en-US" w:eastAsia="zh-CN"/>
              </w:rPr>
              <w:t>成人教育</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车位/班</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rPr>
            </w:pPr>
            <w:r>
              <w:rPr>
                <w:rFonts w:hint="eastAsia" w:ascii="仿宋" w:hAnsi="仿宋" w:eastAsia="仿宋" w:cs="仿宋"/>
                <w:b w:val="0"/>
                <w:bCs w:val="0"/>
                <w:i w:val="0"/>
                <w:iCs w:val="0"/>
                <w:caps w:val="0"/>
                <w:color w:val="auto"/>
                <w:spacing w:val="0"/>
                <w:sz w:val="18"/>
                <w:szCs w:val="18"/>
                <w:lang w:val="en-US" w:eastAsia="zh-CN"/>
              </w:rPr>
              <w:t>8</w:t>
            </w:r>
            <w:r>
              <w:rPr>
                <w:rFonts w:hint="eastAsia" w:ascii="仿宋" w:hAnsi="仿宋" w:eastAsia="仿宋" w:cs="仿宋"/>
                <w:b w:val="0"/>
                <w:bCs w:val="0"/>
                <w:i w:val="0"/>
                <w:iCs w:val="0"/>
                <w:caps w:val="0"/>
                <w:color w:val="auto"/>
                <w:spacing w:val="0"/>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2" w:hRule="exact"/>
        </w:trPr>
        <w:tc>
          <w:tcPr>
            <w:tcW w:w="4059"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工业配套用房</w:t>
            </w:r>
          </w:p>
        </w:tc>
        <w:tc>
          <w:tcPr>
            <w:tcW w:w="3323"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color w:val="auto"/>
                <w:sz w:val="18"/>
                <w:szCs w:val="18"/>
              </w:rPr>
            </w:pPr>
            <w:r>
              <w:rPr>
                <w:rFonts w:hint="eastAsia" w:ascii="仿宋" w:hAnsi="仿宋" w:eastAsia="仿宋" w:cs="仿宋"/>
                <w:b w:val="0"/>
                <w:bCs w:val="0"/>
                <w:i w:val="0"/>
                <w:iCs w:val="0"/>
                <w:caps w:val="0"/>
                <w:color w:val="auto"/>
                <w:spacing w:val="0"/>
                <w:sz w:val="18"/>
                <w:szCs w:val="18"/>
              </w:rPr>
              <w:t>车位/100平方米</w:t>
            </w:r>
          </w:p>
        </w:tc>
        <w:tc>
          <w:tcPr>
            <w:tcW w:w="1616"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0"/>
              <w:jc w:val="center"/>
              <w:textAlignment w:val="center"/>
              <w:rPr>
                <w:rFonts w:hint="eastAsia" w:ascii="仿宋" w:hAnsi="仿宋" w:eastAsia="仿宋" w:cs="仿宋"/>
                <w:b w:val="0"/>
                <w:bCs w:val="0"/>
                <w:i w:val="0"/>
                <w:iCs w:val="0"/>
                <w:caps w:val="0"/>
                <w:color w:val="auto"/>
                <w:spacing w:val="0"/>
                <w:sz w:val="18"/>
                <w:szCs w:val="18"/>
                <w:lang w:eastAsia="zh-CN"/>
              </w:rPr>
            </w:pPr>
            <w:r>
              <w:rPr>
                <w:rFonts w:hint="eastAsia" w:ascii="仿宋" w:hAnsi="仿宋" w:eastAsia="仿宋" w:cs="仿宋"/>
                <w:b w:val="0"/>
                <w:bCs w:val="0"/>
                <w:i w:val="0"/>
                <w:iCs w:val="0"/>
                <w:caps w:val="0"/>
                <w:color w:val="auto"/>
                <w:spacing w:val="0"/>
                <w:sz w:val="18"/>
                <w:szCs w:val="18"/>
              </w:rPr>
              <w:t>0.</w:t>
            </w:r>
            <w:r>
              <w:rPr>
                <w:rFonts w:hint="eastAsia" w:ascii="仿宋" w:hAnsi="仿宋" w:eastAsia="仿宋" w:cs="仿宋"/>
                <w:b w:val="0"/>
                <w:bCs w:val="0"/>
                <w:i w:val="0"/>
                <w:iCs w:val="0"/>
                <w:caps w:val="0"/>
                <w:color w:val="auto"/>
                <w:spacing w:val="0"/>
                <w:sz w:val="18"/>
                <w:szCs w:val="18"/>
                <w:lang w:val="en-US" w:eastAsia="zh-CN"/>
              </w:rPr>
              <w:t>3</w:t>
            </w:r>
          </w:p>
        </w:tc>
      </w:tr>
    </w:tbl>
    <w:p>
      <w:pPr>
        <w:rPr>
          <w:rFonts w:hint="eastAsia" w:ascii="仿宋" w:hAnsi="仿宋" w:eastAsia="仿宋" w:cs="仿宋"/>
          <w:sz w:val="21"/>
          <w:szCs w:val="21"/>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4C2F"/>
    <w:rsid w:val="037336E1"/>
    <w:rsid w:val="05976FC9"/>
    <w:rsid w:val="101D3F3B"/>
    <w:rsid w:val="11356935"/>
    <w:rsid w:val="14880E02"/>
    <w:rsid w:val="160B19DA"/>
    <w:rsid w:val="16FB0CD0"/>
    <w:rsid w:val="1CE81A51"/>
    <w:rsid w:val="1D7D3F68"/>
    <w:rsid w:val="1D9A4612"/>
    <w:rsid w:val="1FD3579B"/>
    <w:rsid w:val="23E13DCF"/>
    <w:rsid w:val="24E80004"/>
    <w:rsid w:val="26A56537"/>
    <w:rsid w:val="283B286F"/>
    <w:rsid w:val="28A81DD3"/>
    <w:rsid w:val="28B61EEF"/>
    <w:rsid w:val="2E5C4A61"/>
    <w:rsid w:val="2F210BAF"/>
    <w:rsid w:val="2F4A21B7"/>
    <w:rsid w:val="2F9F73DA"/>
    <w:rsid w:val="31764CB6"/>
    <w:rsid w:val="33AC5CD2"/>
    <w:rsid w:val="346355B5"/>
    <w:rsid w:val="3BBB2914"/>
    <w:rsid w:val="3C34372B"/>
    <w:rsid w:val="3CF34AA0"/>
    <w:rsid w:val="3FB75525"/>
    <w:rsid w:val="4078115F"/>
    <w:rsid w:val="45FD104A"/>
    <w:rsid w:val="46683433"/>
    <w:rsid w:val="49621E85"/>
    <w:rsid w:val="4AAB2DAF"/>
    <w:rsid w:val="4EE530DE"/>
    <w:rsid w:val="510C22B8"/>
    <w:rsid w:val="55913B76"/>
    <w:rsid w:val="56EF7AD1"/>
    <w:rsid w:val="5A703156"/>
    <w:rsid w:val="5C093014"/>
    <w:rsid w:val="5C481DAF"/>
    <w:rsid w:val="66001D3A"/>
    <w:rsid w:val="66AC57FD"/>
    <w:rsid w:val="67073368"/>
    <w:rsid w:val="69FC6E4F"/>
    <w:rsid w:val="6AA93496"/>
    <w:rsid w:val="6B364E2F"/>
    <w:rsid w:val="6B491CDB"/>
    <w:rsid w:val="71F96AA7"/>
    <w:rsid w:val="73B261A9"/>
    <w:rsid w:val="74792125"/>
    <w:rsid w:val="74F86448"/>
    <w:rsid w:val="75DC2521"/>
    <w:rsid w:val="7AC25BF2"/>
    <w:rsid w:val="7AE36A57"/>
    <w:rsid w:val="7B516302"/>
    <w:rsid w:val="7BCF53D3"/>
    <w:rsid w:val="7E67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2022-09-27T03:08:00Z</dcterms:created>
  <dc:creator>LUO</dc:creator>
  <cp:lastModifiedBy>168</cp:lastModifiedBy>
  <cp:lastPrinted>2022-10-20T01:55:38Z</cp:lastPrinted>
  <dcterms:modified xsi:type="dcterms:W3CDTF">2022-10-20T01:59:13Z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CD348B2F214D4549959B945612DF194A</vt:lpwstr>
  </property>
</Properties>
</file>