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462A8">
      <w:pPr>
        <w:pStyle w:val="12"/>
        <w:jc w:val="center"/>
        <w:rPr>
          <w:sz w:val="56"/>
          <w:szCs w:val="56"/>
        </w:rPr>
      </w:pPr>
    </w:p>
    <w:p w14:paraId="6BDF1CF1">
      <w:pPr>
        <w:pStyle w:val="12"/>
        <w:jc w:val="center"/>
        <w:rPr>
          <w:sz w:val="56"/>
          <w:szCs w:val="56"/>
        </w:rPr>
      </w:pPr>
    </w:p>
    <w:p w14:paraId="51C49E7F">
      <w:pPr>
        <w:pStyle w:val="12"/>
        <w:jc w:val="center"/>
        <w:rPr>
          <w:sz w:val="84"/>
          <w:szCs w:val="84"/>
        </w:rPr>
      </w:pPr>
    </w:p>
    <w:p w14:paraId="4B5782B9">
      <w:pPr>
        <w:pStyle w:val="12"/>
        <w:jc w:val="center"/>
        <w:rPr>
          <w:sz w:val="84"/>
          <w:szCs w:val="84"/>
        </w:rPr>
      </w:pPr>
    </w:p>
    <w:p w14:paraId="61E0D522">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2E5D4D0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岳阳市自然资源和规划行政执法支队单位决算</w:t>
      </w:r>
    </w:p>
    <w:p w14:paraId="3CC0DE47">
      <w:pPr>
        <w:pStyle w:val="12"/>
        <w:jc w:val="center"/>
        <w:rPr>
          <w:sz w:val="56"/>
          <w:szCs w:val="56"/>
        </w:rPr>
      </w:pPr>
    </w:p>
    <w:p w14:paraId="0F292309">
      <w:pPr>
        <w:pStyle w:val="12"/>
        <w:jc w:val="center"/>
        <w:rPr>
          <w:sz w:val="56"/>
          <w:szCs w:val="56"/>
        </w:rPr>
      </w:pPr>
    </w:p>
    <w:p w14:paraId="468150E9">
      <w:pPr>
        <w:pStyle w:val="12"/>
        <w:jc w:val="center"/>
        <w:rPr>
          <w:sz w:val="32"/>
          <w:szCs w:val="32"/>
        </w:rPr>
      </w:pPr>
    </w:p>
    <w:p w14:paraId="6B889D92">
      <w:pPr>
        <w:pStyle w:val="12"/>
        <w:jc w:val="center"/>
        <w:rPr>
          <w:sz w:val="32"/>
          <w:szCs w:val="32"/>
        </w:rPr>
      </w:pPr>
    </w:p>
    <w:p w14:paraId="57FF44F2">
      <w:pPr>
        <w:pStyle w:val="12"/>
        <w:jc w:val="center"/>
        <w:rPr>
          <w:sz w:val="32"/>
          <w:szCs w:val="32"/>
        </w:rPr>
      </w:pPr>
    </w:p>
    <w:p w14:paraId="6ACEFA67">
      <w:pPr>
        <w:pStyle w:val="12"/>
        <w:jc w:val="center"/>
        <w:rPr>
          <w:sz w:val="32"/>
          <w:szCs w:val="32"/>
        </w:rPr>
      </w:pPr>
    </w:p>
    <w:p w14:paraId="3DFA5A86">
      <w:pPr>
        <w:pStyle w:val="12"/>
        <w:jc w:val="center"/>
        <w:rPr>
          <w:sz w:val="32"/>
          <w:szCs w:val="32"/>
        </w:rPr>
      </w:pPr>
    </w:p>
    <w:p w14:paraId="6619CED6">
      <w:pPr>
        <w:pStyle w:val="12"/>
        <w:spacing w:line="540" w:lineRule="exact"/>
        <w:jc w:val="center"/>
        <w:rPr>
          <w:sz w:val="56"/>
          <w:szCs w:val="56"/>
        </w:rPr>
      </w:pPr>
    </w:p>
    <w:p w14:paraId="46C30EB6">
      <w:pPr>
        <w:pStyle w:val="12"/>
        <w:spacing w:line="500" w:lineRule="exact"/>
        <w:jc w:val="both"/>
        <w:rPr>
          <w:b/>
          <w:sz w:val="36"/>
          <w:szCs w:val="28"/>
        </w:rPr>
      </w:pPr>
    </w:p>
    <w:p w14:paraId="37B0BF0B">
      <w:pPr>
        <w:rPr>
          <w:rFonts w:hint="eastAsia"/>
          <w:b/>
          <w:sz w:val="36"/>
          <w:szCs w:val="28"/>
        </w:rPr>
      </w:pPr>
      <w:r>
        <w:rPr>
          <w:rFonts w:hint="eastAsia"/>
          <w:b/>
          <w:sz w:val="36"/>
          <w:szCs w:val="28"/>
        </w:rPr>
        <w:br w:type="page"/>
      </w:r>
    </w:p>
    <w:p w14:paraId="272076E8">
      <w:pPr>
        <w:pStyle w:val="12"/>
        <w:spacing w:line="500" w:lineRule="exact"/>
        <w:jc w:val="center"/>
        <w:rPr>
          <w:b/>
          <w:sz w:val="36"/>
          <w:szCs w:val="28"/>
        </w:rPr>
      </w:pPr>
      <w:r>
        <w:rPr>
          <w:rFonts w:hint="eastAsia"/>
          <w:b/>
          <w:sz w:val="36"/>
          <w:szCs w:val="28"/>
        </w:rPr>
        <w:t>目录</w:t>
      </w:r>
    </w:p>
    <w:p w14:paraId="26CB895A">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岳阳市自然资源和规划行政执法支队单位概况</w:t>
      </w:r>
    </w:p>
    <w:p w14:paraId="0BC005A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4027390D">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6110EBCB">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93465A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79B587D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1A72596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3A93C35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75E791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324D8C8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06A69B57">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F8729A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785E920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03181093">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5E4F689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78EF3F59">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03520C6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307F6CF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67E5D98F">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43AC040A">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4759622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1C5B005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6F51F21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44CC567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0B237A5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778730B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4BAD891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3E7EC79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01B727CA">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321B4720">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15734C50">
      <w:pPr>
        <w:pStyle w:val="12"/>
        <w:jc w:val="center"/>
        <w:rPr>
          <w:rFonts w:hint="eastAsia" w:ascii="方正小标宋_GBK" w:hAnsi="方正小标宋_GBK" w:eastAsia="方正小标宋_GBK" w:cs="方正小标宋_GBK"/>
          <w:sz w:val="84"/>
          <w:szCs w:val="84"/>
        </w:rPr>
      </w:pPr>
    </w:p>
    <w:p w14:paraId="3F715C04">
      <w:pPr>
        <w:pStyle w:val="12"/>
        <w:jc w:val="center"/>
        <w:rPr>
          <w:rFonts w:hint="eastAsia" w:ascii="方正小标宋_GBK" w:hAnsi="方正小标宋_GBK" w:eastAsia="方正小标宋_GBK" w:cs="方正小标宋_GBK"/>
          <w:sz w:val="84"/>
          <w:szCs w:val="84"/>
        </w:rPr>
      </w:pPr>
    </w:p>
    <w:p w14:paraId="700CED9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2CD0A7BB">
      <w:pPr>
        <w:pStyle w:val="12"/>
        <w:jc w:val="center"/>
        <w:rPr>
          <w:rFonts w:hint="eastAsia" w:ascii="方正小标宋_GBK" w:hAnsi="方正小标宋_GBK" w:eastAsia="方正小标宋_GBK" w:cs="方正小标宋_GBK"/>
          <w:sz w:val="84"/>
          <w:szCs w:val="84"/>
        </w:rPr>
      </w:pPr>
    </w:p>
    <w:p w14:paraId="64FB76C7">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岳阳市自然资源和规划行政执法支队单位概况</w:t>
      </w:r>
    </w:p>
    <w:p w14:paraId="39F435FA">
      <w:pPr>
        <w:pStyle w:val="2"/>
        <w:rPr>
          <w:rFonts w:hint="eastAsia" w:ascii="方正小标宋_GBK" w:hAnsi="方正小标宋_GBK" w:eastAsia="方正小标宋_GBK" w:cs="方正小标宋_GBK"/>
          <w:sz w:val="84"/>
          <w:szCs w:val="84"/>
        </w:rPr>
      </w:pPr>
    </w:p>
    <w:p w14:paraId="3F483571">
      <w:pPr>
        <w:pStyle w:val="3"/>
        <w:rPr>
          <w:rFonts w:hint="eastAsia" w:ascii="方正小标宋_GBK" w:hAnsi="方正小标宋_GBK" w:eastAsia="方正小标宋_GBK" w:cs="方正小标宋_GBK"/>
          <w:sz w:val="84"/>
          <w:szCs w:val="84"/>
        </w:rPr>
      </w:pPr>
    </w:p>
    <w:p w14:paraId="678DBA03">
      <w:pPr>
        <w:rPr>
          <w:rFonts w:hint="eastAsia" w:ascii="方正小标宋_GBK" w:hAnsi="方正小标宋_GBK" w:eastAsia="方正小标宋_GBK" w:cs="方正小标宋_GBK"/>
          <w:sz w:val="84"/>
          <w:szCs w:val="84"/>
        </w:rPr>
      </w:pPr>
    </w:p>
    <w:p w14:paraId="1CDF85F8">
      <w:pPr>
        <w:pStyle w:val="2"/>
        <w:rPr>
          <w:rFonts w:hint="eastAsia" w:ascii="方正小标宋_GBK" w:hAnsi="方正小标宋_GBK" w:eastAsia="方正小标宋_GBK" w:cs="方正小标宋_GBK"/>
          <w:sz w:val="84"/>
          <w:szCs w:val="84"/>
        </w:rPr>
      </w:pPr>
    </w:p>
    <w:p w14:paraId="0A356775">
      <w:pPr>
        <w:rPr>
          <w:rFonts w:hint="eastAsia" w:ascii="黑体" w:hAnsi="黑体" w:eastAsia="黑体" w:cs="黑体"/>
          <w:b w:val="0"/>
          <w:bCs w:val="0"/>
          <w:sz w:val="32"/>
          <w:szCs w:val="32"/>
        </w:rPr>
      </w:pPr>
      <w:r>
        <w:rPr>
          <w:rFonts w:hint="eastAsia" w:ascii="黑体" w:hAnsi="黑体" w:eastAsia="黑体" w:cs="黑体"/>
          <w:b w:val="0"/>
          <w:bCs w:val="0"/>
          <w:sz w:val="32"/>
          <w:szCs w:val="32"/>
        </w:rPr>
        <w:br w:type="page"/>
      </w:r>
    </w:p>
    <w:p w14:paraId="1CD8B686">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167C1FEC">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（一）贯彻执行党和国家、省、市有关自然资源和规划行政执法领域的法律法规、规章和政策。代拟全市自然资源和规划行政执法工作方面的规范性文件、总体规划和年度计划，并组织实施。</w:t>
      </w:r>
    </w:p>
    <w:p w14:paraId="4AE6A52B">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二</w:t>
      </w:r>
      <w:r>
        <w:rPr>
          <w:rFonts w:hint="eastAsia" w:ascii="Times New Roman" w:hAnsi="Times New Roman" w:eastAsia="仿宋_GB2312" w:cs="仿宋_GB2312"/>
          <w:sz w:val="32"/>
          <w:szCs w:val="32"/>
        </w:rPr>
        <w:t>）负责市辖区(岳阳楼区、云溪区、君山区，岳阳经济技术开发区、城陵现新港区、南湖新区，下同)范围内的土地、矿产资源、测绘地理信息和国土</w:t>
      </w:r>
      <w:r>
        <w:rPr>
          <w:rFonts w:hint="eastAsia" w:ascii="Times New Roman" w:hAnsi="Times New Roman" w:eastAsia="仿宋_GB2312" w:cs="仿宋_GB2312"/>
          <w:sz w:val="32"/>
          <w:szCs w:val="32"/>
          <w:lang w:eastAsia="zh-CN"/>
        </w:rPr>
        <w:t>空间规划</w:t>
      </w:r>
      <w:r>
        <w:rPr>
          <w:rFonts w:hint="eastAsia" w:ascii="Times New Roman" w:hAnsi="Times New Roman" w:eastAsia="仿宋_GB2312" w:cs="仿宋_GB2312"/>
          <w:sz w:val="32"/>
          <w:szCs w:val="32"/>
        </w:rPr>
        <w:t>(城乡规划)等领域违法案件的查处，依法行使法律法规规章</w:t>
      </w:r>
      <w:r>
        <w:rPr>
          <w:rFonts w:hint="eastAsia" w:ascii="Times New Roman" w:hAnsi="Times New Roman" w:eastAsia="仿宋_GB2312" w:cs="仿宋_GB2312"/>
          <w:sz w:val="32"/>
          <w:szCs w:val="32"/>
          <w:lang w:eastAsia="zh-CN"/>
        </w:rPr>
        <w:t>赋予的</w:t>
      </w:r>
      <w:r>
        <w:rPr>
          <w:rFonts w:hint="eastAsia" w:ascii="Times New Roman" w:hAnsi="Times New Roman" w:eastAsia="仿宋_GB2312" w:cs="仿宋_GB2312"/>
          <w:sz w:val="32"/>
          <w:szCs w:val="32"/>
        </w:rPr>
        <w:t>自然资源和规划行政处罚权及其相关的行政检查、行政强制权等行政执法职责</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参与城市规划区内的各项建设活动的监督检查工作，做好审批建设项目(</w:t>
      </w:r>
      <w:r>
        <w:rPr>
          <w:rFonts w:hint="eastAsia" w:ascii="Times New Roman" w:hAnsi="Times New Roman" w:eastAsia="仿宋_GB2312" w:cs="仿宋_GB2312"/>
          <w:sz w:val="32"/>
          <w:szCs w:val="32"/>
          <w:lang w:eastAsia="zh-CN"/>
        </w:rPr>
        <w:t>含</w:t>
      </w:r>
      <w:r>
        <w:rPr>
          <w:rFonts w:hint="eastAsia" w:ascii="Times New Roman" w:hAnsi="Times New Roman" w:eastAsia="仿宋_GB2312" w:cs="仿宋_GB2312"/>
          <w:sz w:val="32"/>
          <w:szCs w:val="32"/>
        </w:rPr>
        <w:t>市政工程和临时建设)的放线定位、规划条件核实和土地校验工作</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负责指导全市土地矿产卫片执法检查工作。</w:t>
      </w:r>
    </w:p>
    <w:p w14:paraId="6FD91B36">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三</w:t>
      </w:r>
      <w:r>
        <w:rPr>
          <w:rFonts w:hint="eastAsia" w:ascii="Times New Roman" w:hAnsi="Times New Roman" w:eastAsia="仿宋_GB2312" w:cs="仿宋_GB2312"/>
          <w:sz w:val="32"/>
          <w:szCs w:val="32"/>
        </w:rPr>
        <w:t>）根据授权或委托，负责全市</w:t>
      </w:r>
      <w:r>
        <w:rPr>
          <w:rFonts w:hint="eastAsia" w:ascii="Times New Roman" w:hAnsi="Times New Roman" w:eastAsia="仿宋_GB2312" w:cs="仿宋_GB2312"/>
          <w:sz w:val="32"/>
          <w:szCs w:val="32"/>
          <w:lang w:eastAsia="zh-CN"/>
        </w:rPr>
        <w:t>范围内</w:t>
      </w:r>
      <w:r>
        <w:rPr>
          <w:rFonts w:hint="eastAsia" w:ascii="Times New Roman" w:hAnsi="Times New Roman" w:eastAsia="仿宋_GB2312" w:cs="仿宋_GB2312"/>
          <w:sz w:val="32"/>
          <w:szCs w:val="32"/>
        </w:rPr>
        <w:t>重大、复杂和跨区域自然资源和规划领域的违法案件的查处。</w:t>
      </w:r>
    </w:p>
    <w:p w14:paraId="20C49A19">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四</w:t>
      </w:r>
      <w:r>
        <w:rPr>
          <w:rFonts w:hint="eastAsia" w:ascii="Times New Roman" w:hAnsi="Times New Roman" w:eastAsia="仿宋_GB2312" w:cs="仿宋_GB2312"/>
          <w:sz w:val="32"/>
          <w:szCs w:val="32"/>
        </w:rPr>
        <w:t>）负责自然资源和规划行政执法和刑事司法工作</w:t>
      </w:r>
      <w:r>
        <w:rPr>
          <w:rFonts w:hint="eastAsia" w:ascii="Times New Roman" w:hAnsi="Times New Roman" w:eastAsia="仿宋_GB2312" w:cs="仿宋_GB2312"/>
          <w:sz w:val="32"/>
          <w:szCs w:val="32"/>
          <w:lang w:eastAsia="zh-CN"/>
        </w:rPr>
        <w:t>衔接</w:t>
      </w:r>
      <w:r>
        <w:rPr>
          <w:rFonts w:hint="eastAsia" w:ascii="Times New Roman" w:hAnsi="Times New Roman" w:eastAsia="仿宋_GB2312" w:cs="仿宋_GB2312"/>
          <w:sz w:val="32"/>
          <w:szCs w:val="32"/>
        </w:rPr>
        <w:t>，移送涉嫌犯罪案件。</w:t>
      </w:r>
    </w:p>
    <w:p w14:paraId="39E77ED9">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五</w:t>
      </w:r>
      <w:r>
        <w:rPr>
          <w:rFonts w:hint="eastAsia" w:ascii="Times New Roman" w:hAnsi="Times New Roman" w:eastAsia="仿宋_GB2312" w:cs="仿宋_GB2312"/>
          <w:sz w:val="32"/>
          <w:szCs w:val="32"/>
        </w:rPr>
        <w:t>）负责对全市自然资源和规划行政执法工作进行指导、协调、监督和考核</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负责组织或参与自然资源和规划违法违规行为专项整治工作。</w:t>
      </w:r>
    </w:p>
    <w:p w14:paraId="38FA1EF5">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六</w:t>
      </w:r>
      <w:r>
        <w:rPr>
          <w:rFonts w:hint="eastAsia" w:ascii="Times New Roman" w:hAnsi="Times New Roman" w:eastAsia="仿宋_GB2312" w:cs="仿宋_GB2312"/>
          <w:sz w:val="32"/>
          <w:szCs w:val="32"/>
        </w:rPr>
        <w:t>）负责全市自然资源和规划领域违法违规行为的上级批办、部⻔转办、媒体曝光反映、群众举报投诉的受理、查处或交办等工作。</w:t>
      </w:r>
    </w:p>
    <w:p w14:paraId="2D948A91">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七</w:t>
      </w:r>
      <w:r>
        <w:rPr>
          <w:rFonts w:hint="eastAsia" w:ascii="Times New Roman" w:hAnsi="Times New Roman" w:eastAsia="仿宋_GB2312" w:cs="仿宋_GB2312"/>
          <w:sz w:val="32"/>
          <w:szCs w:val="32"/>
        </w:rPr>
        <w:t>）负责组织和指导全市自然资源和规划行政执法信息化管理工作</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负责违法</w:t>
      </w:r>
      <w:r>
        <w:rPr>
          <w:rFonts w:hint="eastAsia" w:ascii="Times New Roman" w:hAnsi="Times New Roman" w:eastAsia="仿宋_GB2312" w:cs="仿宋_GB2312"/>
          <w:sz w:val="32"/>
          <w:szCs w:val="32"/>
          <w:lang w:eastAsia="zh-CN"/>
        </w:rPr>
        <w:t>事件</w:t>
      </w:r>
      <w:r>
        <w:rPr>
          <w:rFonts w:hint="eastAsia" w:ascii="Times New Roman" w:hAnsi="Times New Roman" w:eastAsia="仿宋_GB2312" w:cs="仿宋_GB2312"/>
          <w:sz w:val="32"/>
          <w:szCs w:val="32"/>
        </w:rPr>
        <w:t>的统计、分析和报送工作。</w:t>
      </w:r>
    </w:p>
    <w:p w14:paraId="23DF3E40">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八</w:t>
      </w:r>
      <w:r>
        <w:rPr>
          <w:rFonts w:hint="eastAsia" w:ascii="Times New Roman" w:hAnsi="Times New Roman" w:eastAsia="仿宋_GB2312" w:cs="仿宋_GB2312"/>
          <w:sz w:val="32"/>
          <w:szCs w:val="32"/>
        </w:rPr>
        <w:t>）完成上级交办的其他工作。</w:t>
      </w:r>
    </w:p>
    <w:p w14:paraId="41B2E9D3">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1FCCC25D">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（一）内设机构设置。岳阳市自然资源和规划行政执法支队内设机构包括：我单位设置了8个职能科室，内设科室分别是 ：综合室、监督审理科、直属一大队、直属三大队、直属三大队、直属四大队、直属五大队、直属六大队。支队长1名，</w:t>
      </w:r>
      <w:r>
        <w:rPr>
          <w:rFonts w:hint="eastAsia" w:ascii="Times New Roman" w:hAnsi="Times New Roman" w:eastAsia="仿宋_GB2312" w:cs="仿宋_GB2312"/>
          <w:sz w:val="32"/>
          <w:szCs w:val="32"/>
          <w:lang w:eastAsia="zh-CN"/>
        </w:rPr>
        <w:t>编制人数</w:t>
      </w:r>
      <w:r>
        <w:rPr>
          <w:rFonts w:hint="eastAsia" w:ascii="Times New Roman" w:hAnsi="Times New Roman" w:eastAsia="仿宋_GB2312" w:cs="仿宋_GB2312"/>
          <w:sz w:val="32"/>
          <w:szCs w:val="32"/>
          <w:lang w:val="en-US" w:eastAsia="zh-CN"/>
        </w:rPr>
        <w:t>44人，</w:t>
      </w:r>
      <w:r>
        <w:rPr>
          <w:rFonts w:hint="eastAsia" w:ascii="Times New Roman" w:hAnsi="Times New Roman" w:eastAsia="仿宋_GB2312" w:cs="仿宋_GB2312"/>
          <w:sz w:val="32"/>
          <w:szCs w:val="32"/>
        </w:rPr>
        <w:t>在职人员44人，退休人员9人。</w:t>
      </w:r>
    </w:p>
    <w:p w14:paraId="73E9AC42">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（二）决算单位构成。岳阳市自然资源和规划行政执法支队202</w:t>
      </w: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年部门决算汇总公开单位构成包括：</w:t>
      </w:r>
      <w:r>
        <w:rPr>
          <w:rFonts w:hint="eastAsia" w:ascii="Times New Roman" w:hAnsi="Times New Roman" w:eastAsia="仿宋_GB2312" w:cs="仿宋_GB2312"/>
          <w:sz w:val="32"/>
          <w:szCs w:val="32"/>
          <w:lang w:eastAsia="zh-CN"/>
        </w:rPr>
        <w:t>本单位无独立核算的下属单位，</w:t>
      </w:r>
      <w:r>
        <w:rPr>
          <w:rFonts w:hint="eastAsia" w:ascii="Times New Roman" w:hAnsi="Times New Roman" w:eastAsia="仿宋_GB2312" w:cs="仿宋_GB2312"/>
          <w:sz w:val="32"/>
          <w:szCs w:val="32"/>
          <w:lang w:val="en-US" w:eastAsia="zh-CN"/>
        </w:rPr>
        <w:t>2023年度部门决算汇总公开单位仅包括岳阳市自然资源和规划行政执法支队本级</w:t>
      </w:r>
      <w:r>
        <w:rPr>
          <w:rFonts w:hint="eastAsia" w:ascii="Times New Roman" w:hAnsi="Times New Roman" w:eastAsia="仿宋_GB2312" w:cs="仿宋_GB2312"/>
          <w:sz w:val="32"/>
          <w:szCs w:val="32"/>
        </w:rPr>
        <w:t>。</w:t>
      </w:r>
    </w:p>
    <w:p w14:paraId="36C367C9"/>
    <w:p w14:paraId="4E3ECDED">
      <w:pPr>
        <w:pStyle w:val="2"/>
      </w:pPr>
    </w:p>
    <w:p w14:paraId="3E0045B2">
      <w:pPr>
        <w:pStyle w:val="3"/>
      </w:pPr>
    </w:p>
    <w:p w14:paraId="2D1751A8"/>
    <w:p w14:paraId="01C31286">
      <w:pPr>
        <w:pStyle w:val="2"/>
      </w:pPr>
    </w:p>
    <w:p w14:paraId="1C42E56E">
      <w:pPr>
        <w:pStyle w:val="3"/>
      </w:pPr>
    </w:p>
    <w:p w14:paraId="7024BC33"/>
    <w:p w14:paraId="5672B906">
      <w:pPr>
        <w:pStyle w:val="2"/>
      </w:pPr>
    </w:p>
    <w:p w14:paraId="7EED3183">
      <w:pPr>
        <w:pStyle w:val="3"/>
      </w:pPr>
    </w:p>
    <w:p w14:paraId="4A3F9EA3"/>
    <w:p w14:paraId="4E2A7EA5">
      <w:pPr>
        <w:pStyle w:val="2"/>
      </w:pPr>
    </w:p>
    <w:p w14:paraId="78137801">
      <w:pPr>
        <w:pStyle w:val="3"/>
      </w:pPr>
    </w:p>
    <w:p w14:paraId="3C791772"/>
    <w:p w14:paraId="3A528C29">
      <w:pPr>
        <w:pStyle w:val="2"/>
      </w:pPr>
    </w:p>
    <w:p w14:paraId="02F6B598">
      <w:pPr>
        <w:pStyle w:val="3"/>
      </w:pPr>
    </w:p>
    <w:p w14:paraId="4E2EA22D"/>
    <w:p w14:paraId="1005B27D">
      <w:pPr>
        <w:pStyle w:val="2"/>
      </w:pPr>
    </w:p>
    <w:p w14:paraId="780CB0E5">
      <w:pPr>
        <w:pStyle w:val="3"/>
      </w:pPr>
    </w:p>
    <w:p w14:paraId="4D844C56"/>
    <w:p w14:paraId="0B82974B">
      <w:pPr>
        <w:pStyle w:val="2"/>
      </w:pPr>
    </w:p>
    <w:p w14:paraId="4F95EFF1">
      <w:pPr>
        <w:pStyle w:val="3"/>
      </w:pPr>
    </w:p>
    <w:p w14:paraId="2C58D555"/>
    <w:p w14:paraId="409B7011">
      <w:pP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br w:type="page"/>
      </w:r>
    </w:p>
    <w:p w14:paraId="675503A4">
      <w:pPr>
        <w:pStyle w:val="12"/>
        <w:jc w:val="center"/>
        <w:rPr>
          <w:rFonts w:hint="eastAsia" w:ascii="方正小标宋_GBK" w:hAnsi="方正小标宋_GBK" w:eastAsia="方正小标宋_GBK" w:cs="方正小标宋_GBK"/>
          <w:sz w:val="84"/>
          <w:szCs w:val="84"/>
        </w:rPr>
      </w:pPr>
    </w:p>
    <w:p w14:paraId="5F8A2104">
      <w:pPr>
        <w:pStyle w:val="12"/>
        <w:jc w:val="center"/>
        <w:rPr>
          <w:rFonts w:hint="eastAsia" w:ascii="方正小标宋_GBK" w:hAnsi="方正小标宋_GBK" w:eastAsia="方正小标宋_GBK" w:cs="方正小标宋_GBK"/>
          <w:sz w:val="84"/>
          <w:szCs w:val="84"/>
        </w:rPr>
      </w:pPr>
    </w:p>
    <w:p w14:paraId="583A6202">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77056F97">
      <w:pPr>
        <w:pStyle w:val="12"/>
        <w:jc w:val="center"/>
        <w:rPr>
          <w:rFonts w:hint="eastAsia" w:ascii="方正小标宋_GBK" w:hAnsi="方正小标宋_GBK" w:eastAsia="方正小标宋_GBK" w:cs="方正小标宋_GBK"/>
          <w:sz w:val="84"/>
          <w:szCs w:val="84"/>
        </w:rPr>
      </w:pPr>
    </w:p>
    <w:p w14:paraId="77A5FDE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0A60D1">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7ABBD606">
      <w:pPr>
        <w:pStyle w:val="12"/>
        <w:jc w:val="center"/>
        <w:rPr>
          <w:rFonts w:hint="eastAsia" w:ascii="仿宋_GB2312" w:hAnsi="仿宋_GB2312" w:eastAsia="仿宋_GB2312" w:cs="仿宋_GB2312"/>
          <w:b w:val="0"/>
          <w:bCs w:val="0"/>
          <w:sz w:val="72"/>
          <w:szCs w:val="72"/>
          <w:lang w:eastAsia="zh-CN"/>
        </w:rPr>
      </w:pPr>
    </w:p>
    <w:p w14:paraId="0BD1456D">
      <w:pPr>
        <w:pStyle w:val="12"/>
        <w:jc w:val="center"/>
        <w:rPr>
          <w:rFonts w:hint="eastAsia" w:ascii="仿宋_GB2312" w:hAnsi="仿宋_GB2312" w:eastAsia="仿宋_GB2312" w:cs="仿宋_GB2312"/>
          <w:b w:val="0"/>
          <w:bCs w:val="0"/>
          <w:sz w:val="72"/>
          <w:szCs w:val="72"/>
          <w:lang w:eastAsia="zh-CN"/>
        </w:rPr>
      </w:pPr>
    </w:p>
    <w:p w14:paraId="1A751E0E">
      <w:pPr>
        <w:pStyle w:val="12"/>
        <w:jc w:val="center"/>
        <w:rPr>
          <w:rFonts w:hint="eastAsia" w:ascii="仿宋_GB2312" w:hAnsi="仿宋_GB2312" w:eastAsia="仿宋_GB2312" w:cs="仿宋_GB2312"/>
          <w:b w:val="0"/>
          <w:bCs w:val="0"/>
          <w:sz w:val="72"/>
          <w:szCs w:val="72"/>
          <w:lang w:eastAsia="zh-CN"/>
        </w:rPr>
      </w:pPr>
    </w:p>
    <w:p w14:paraId="579AF61B">
      <w:pPr>
        <w:pStyle w:val="12"/>
        <w:jc w:val="center"/>
        <w:rPr>
          <w:rFonts w:hint="eastAsia" w:ascii="仿宋_GB2312" w:hAnsi="仿宋_GB2312" w:eastAsia="仿宋_GB2312" w:cs="仿宋_GB2312"/>
          <w:b w:val="0"/>
          <w:bCs w:val="0"/>
          <w:sz w:val="72"/>
          <w:szCs w:val="72"/>
          <w:lang w:eastAsia="zh-CN"/>
        </w:rPr>
      </w:pPr>
    </w:p>
    <w:p w14:paraId="2F2B0DE5">
      <w:pPr>
        <w:pStyle w:val="12"/>
        <w:jc w:val="center"/>
        <w:rPr>
          <w:rFonts w:hint="eastAsia" w:ascii="仿宋_GB2312" w:hAnsi="仿宋_GB2312" w:eastAsia="仿宋_GB2312" w:cs="仿宋_GB2312"/>
          <w:b w:val="0"/>
          <w:bCs w:val="0"/>
          <w:sz w:val="72"/>
          <w:szCs w:val="72"/>
          <w:lang w:eastAsia="zh-CN"/>
        </w:rPr>
      </w:pPr>
    </w:p>
    <w:p w14:paraId="655423E1">
      <w:pPr>
        <w:pStyle w:val="12"/>
        <w:jc w:val="center"/>
        <w:rPr>
          <w:rFonts w:hint="eastAsia" w:ascii="仿宋_GB2312" w:hAnsi="仿宋_GB2312" w:eastAsia="仿宋_GB2312" w:cs="仿宋_GB2312"/>
          <w:b w:val="0"/>
          <w:bCs w:val="0"/>
          <w:sz w:val="72"/>
          <w:szCs w:val="72"/>
          <w:lang w:eastAsia="zh-CN"/>
        </w:rPr>
      </w:pPr>
    </w:p>
    <w:p w14:paraId="68D8129F">
      <w:pPr>
        <w:pStyle w:val="12"/>
        <w:jc w:val="center"/>
        <w:rPr>
          <w:rFonts w:hint="eastAsia" w:ascii="仿宋_GB2312" w:hAnsi="仿宋_GB2312" w:eastAsia="仿宋_GB2312" w:cs="仿宋_GB2312"/>
          <w:b w:val="0"/>
          <w:bCs w:val="0"/>
          <w:sz w:val="72"/>
          <w:szCs w:val="72"/>
          <w:lang w:eastAsia="zh-CN"/>
        </w:rPr>
      </w:pPr>
    </w:p>
    <w:p w14:paraId="779233B9">
      <w:pPr>
        <w:pStyle w:val="12"/>
        <w:jc w:val="center"/>
        <w:rPr>
          <w:rFonts w:hint="eastAsia" w:ascii="方正小标宋_GBK" w:hAnsi="方正小标宋_GBK" w:eastAsia="方正小标宋_GBK" w:cs="方正小标宋_GBK"/>
          <w:sz w:val="72"/>
          <w:szCs w:val="72"/>
        </w:rPr>
      </w:pPr>
    </w:p>
    <w:p w14:paraId="7C2B3404">
      <w:pPr>
        <w:pStyle w:val="12"/>
        <w:jc w:val="center"/>
        <w:rPr>
          <w:rFonts w:hint="eastAsia" w:ascii="方正小标宋_GBK" w:hAnsi="方正小标宋_GBK" w:eastAsia="方正小标宋_GBK" w:cs="方正小标宋_GBK"/>
          <w:sz w:val="72"/>
          <w:szCs w:val="72"/>
        </w:rPr>
      </w:pPr>
    </w:p>
    <w:p w14:paraId="64A4F50E">
      <w:pPr>
        <w:pStyle w:val="12"/>
        <w:jc w:val="both"/>
        <w:rPr>
          <w:rFonts w:hint="eastAsia" w:ascii="方正小标宋_GBK" w:hAnsi="方正小标宋_GBK" w:eastAsia="方正小标宋_GBK" w:cs="方正小标宋_GBK"/>
          <w:sz w:val="72"/>
          <w:szCs w:val="72"/>
        </w:rPr>
      </w:pPr>
    </w:p>
    <w:p w14:paraId="6CE814A3">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3C235E16">
      <w:pPr>
        <w:pStyle w:val="12"/>
        <w:jc w:val="center"/>
        <w:rPr>
          <w:rFonts w:hint="eastAsia" w:ascii="方正小标宋_GBK" w:hAnsi="方正小标宋_GBK" w:eastAsia="方正小标宋_GBK" w:cs="方正小标宋_GBK"/>
          <w:sz w:val="70"/>
          <w:szCs w:val="70"/>
        </w:rPr>
      </w:pPr>
    </w:p>
    <w:p w14:paraId="4725D1EA">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26AE361D">
      <w:pPr>
        <w:pStyle w:val="12"/>
        <w:jc w:val="center"/>
        <w:rPr>
          <w:rFonts w:hint="eastAsia" w:ascii="方正小标宋_GBK" w:hAnsi="方正小标宋_GBK" w:eastAsia="方正小标宋_GBK" w:cs="方正小标宋_GBK"/>
          <w:sz w:val="70"/>
          <w:szCs w:val="70"/>
        </w:rPr>
      </w:pPr>
    </w:p>
    <w:p w14:paraId="77DD9771">
      <w:pPr>
        <w:pStyle w:val="12"/>
        <w:jc w:val="center"/>
        <w:rPr>
          <w:rFonts w:hint="eastAsia" w:ascii="方正小标宋_GBK" w:hAnsi="方正小标宋_GBK" w:eastAsia="方正小标宋_GBK" w:cs="方正小标宋_GBK"/>
          <w:sz w:val="70"/>
          <w:szCs w:val="70"/>
        </w:rPr>
      </w:pPr>
    </w:p>
    <w:p w14:paraId="664943C1">
      <w:pPr>
        <w:pStyle w:val="12"/>
        <w:jc w:val="center"/>
        <w:rPr>
          <w:rFonts w:hint="eastAsia" w:ascii="方正小标宋_GBK" w:hAnsi="方正小标宋_GBK" w:eastAsia="方正小标宋_GBK" w:cs="方正小标宋_GBK"/>
          <w:sz w:val="70"/>
          <w:szCs w:val="70"/>
        </w:rPr>
      </w:pPr>
    </w:p>
    <w:p w14:paraId="004FF156">
      <w:pPr>
        <w:pStyle w:val="12"/>
        <w:jc w:val="center"/>
        <w:rPr>
          <w:rFonts w:hint="eastAsia" w:ascii="方正小标宋_GBK" w:hAnsi="方正小标宋_GBK" w:eastAsia="方正小标宋_GBK" w:cs="方正小标宋_GBK"/>
          <w:sz w:val="70"/>
          <w:szCs w:val="70"/>
        </w:rPr>
      </w:pPr>
    </w:p>
    <w:p w14:paraId="7543C5E5">
      <w:pPr>
        <w:pStyle w:val="12"/>
        <w:jc w:val="center"/>
        <w:rPr>
          <w:rFonts w:hint="eastAsia" w:ascii="方正小标宋_GBK" w:hAnsi="方正小标宋_GBK" w:eastAsia="方正小标宋_GBK" w:cs="方正小标宋_GBK"/>
          <w:sz w:val="70"/>
          <w:szCs w:val="70"/>
        </w:rPr>
      </w:pPr>
    </w:p>
    <w:p w14:paraId="3BFA1762">
      <w:pPr>
        <w:pStyle w:val="12"/>
        <w:jc w:val="center"/>
        <w:rPr>
          <w:rFonts w:hint="eastAsia" w:ascii="方正小标宋_GBK" w:hAnsi="方正小标宋_GBK" w:eastAsia="方正小标宋_GBK" w:cs="方正小标宋_GBK"/>
          <w:sz w:val="70"/>
          <w:szCs w:val="70"/>
        </w:rPr>
      </w:pPr>
    </w:p>
    <w:p w14:paraId="056FB96A">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4F1EFB7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006DCDE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年度收、支总计1,053.75万元。与上年相比，增加626.18万元，增长146.45%，主要是因为</w:t>
      </w:r>
      <w:r>
        <w:rPr>
          <w:rFonts w:hint="eastAsia" w:ascii="仿宋_GB2312" w:hAnsi="仿宋_GB2312" w:eastAsia="仿宋_GB2312" w:cs="仿宋_GB2312"/>
          <w:sz w:val="32"/>
          <w:szCs w:val="32"/>
          <w:lang w:eastAsia="zh-CN"/>
        </w:rPr>
        <w:t>人员经费工资福利、退休费增加。</w:t>
      </w:r>
    </w:p>
    <w:p w14:paraId="6104FEF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12AE11F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年度收入合计1,053.75万元，其中：财政拨款收入1,044.77万元，占99.15%；上级补助收入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%；其他收入8.98万元，占0.85%。</w:t>
      </w:r>
    </w:p>
    <w:p w14:paraId="3DB6384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393CA56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年度支出合计1,053.75万元，其中：基本支出813.43万元，占77.19%；项目支出240.32万元，占22.81%；上缴上级支出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p>
    <w:p w14:paraId="21CC2BE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248C586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年度财政拨款收、支总计1,044.77万元，与上年相比，增加653.58万元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增长167.07%，主要是因为</w:t>
      </w:r>
      <w:r>
        <w:rPr>
          <w:rFonts w:hint="eastAsia" w:ascii="仿宋_GB2312" w:hAnsi="仿宋_GB2312" w:eastAsia="仿宋_GB2312" w:cs="仿宋_GB2312"/>
          <w:sz w:val="32"/>
          <w:szCs w:val="32"/>
          <w:lang w:eastAsia="zh-CN"/>
        </w:rPr>
        <w:t>人员经费工资福利、退休费增加。</w:t>
      </w:r>
    </w:p>
    <w:p w14:paraId="32EA27E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356AF0F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72D1040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年度财政拨款支出1,044.77万元，占本年支出合计的99.15%，与上年相比，财政拨款支出增加653.58万元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增长167.07%，主要是因为</w:t>
      </w:r>
      <w:r>
        <w:rPr>
          <w:rFonts w:hint="eastAsia" w:ascii="仿宋_GB2312" w:hAnsi="仿宋_GB2312" w:eastAsia="仿宋_GB2312" w:cs="仿宋_GB2312"/>
          <w:sz w:val="32"/>
          <w:szCs w:val="32"/>
          <w:lang w:eastAsia="zh-CN"/>
        </w:rPr>
        <w:t>人员经费工资福利、退休费增加。</w:t>
      </w:r>
    </w:p>
    <w:p w14:paraId="2933E83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6AAC88C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1,044.77万元，主要用于以下方面：社会保障和就业支出65.40万元，占6.26%；卫生健康支出29.42万元，占2.82%；城乡社区支出266.32万元，占25.49%；自然资源海洋气象等支出631.98万元，占60.49%；住房保障支出51.64万元，占4.94%</w:t>
      </w:r>
      <w:r>
        <w:rPr>
          <w:rFonts w:hint="eastAsia" w:ascii="仿宋_GB2312" w:hAnsi="仿宋_GB2312" w:eastAsia="仿宋_GB2312" w:cs="仿宋_GB2312"/>
          <w:sz w:val="32"/>
          <w:szCs w:val="32"/>
          <w:lang w:eastAsia="zh-CN"/>
        </w:rPr>
        <w:t>。</w:t>
      </w:r>
    </w:p>
    <w:p w14:paraId="520F3AE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457AAF8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年度财政拨款支出年初预算数为796.53万元，支出决算数为1,044.77万元，完成年初预算的131.17%，其中：</w:t>
      </w:r>
    </w:p>
    <w:p w14:paraId="71A35E8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1、社会保障和就业支出（类）行政事业单位养老支出（款）机关事业单位基本养老保险缴费支出（项）</w:t>
      </w:r>
      <w:r>
        <w:rPr>
          <w:rFonts w:hint="eastAsia" w:ascii="仿宋_GB2312" w:hAnsi="仿宋_GB2312" w:eastAsia="仿宋_GB2312" w:cs="仿宋_GB2312"/>
          <w:sz w:val="32"/>
          <w:szCs w:val="32"/>
          <w:lang w:eastAsia="zh-CN"/>
        </w:rPr>
        <w:t>。</w:t>
      </w:r>
    </w:p>
    <w:p w14:paraId="7CE44E5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年初预算为53.03万元，支出决算为51.59万元，完成年初预算的97.28%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年内人员变动使相关人员经费调整。</w:t>
      </w:r>
    </w:p>
    <w:p w14:paraId="249C222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2、社会保障和就业支出（类）其他社会保障和就业支出（款）其他社会保障和就业支出（项）</w:t>
      </w:r>
      <w:r>
        <w:rPr>
          <w:rFonts w:hint="eastAsia" w:ascii="仿宋_GB2312" w:hAnsi="仿宋_GB2312" w:eastAsia="仿宋_GB2312" w:cs="仿宋_GB2312"/>
          <w:sz w:val="32"/>
          <w:szCs w:val="32"/>
          <w:lang w:eastAsia="zh-CN"/>
        </w:rPr>
        <w:t>。</w:t>
      </w:r>
    </w:p>
    <w:p w14:paraId="1FF7D5A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年初预算为13.81万元，支出决算为13.81万元，完成年初预算的100.00%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严格按照预算执行。</w:t>
      </w:r>
    </w:p>
    <w:p w14:paraId="589A0E7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3、卫生健康支出（类）行政事业单位医疗（款）行政单位医疗（项）</w:t>
      </w:r>
      <w:r>
        <w:rPr>
          <w:rFonts w:hint="eastAsia" w:ascii="仿宋_GB2312" w:hAnsi="仿宋_GB2312" w:eastAsia="仿宋_GB2312" w:cs="仿宋_GB2312"/>
          <w:sz w:val="32"/>
          <w:szCs w:val="32"/>
          <w:lang w:eastAsia="zh-CN"/>
        </w:rPr>
        <w:t>。</w:t>
      </w:r>
    </w:p>
    <w:p w14:paraId="374C037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年初预算为29.89万元，支出决算为29.42万元，完成年初预算的98.4</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年内人员变动使相关人员经费调整。</w:t>
      </w:r>
    </w:p>
    <w:p w14:paraId="6B9A7E8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4、卫生健康支出（类）行政事业单位医疗（款）公务员医疗补助（项）</w:t>
      </w:r>
      <w:r>
        <w:rPr>
          <w:rFonts w:hint="eastAsia" w:ascii="仿宋_GB2312" w:hAnsi="仿宋_GB2312" w:eastAsia="仿宋_GB2312" w:cs="仿宋_GB2312"/>
          <w:sz w:val="32"/>
          <w:szCs w:val="32"/>
          <w:lang w:eastAsia="zh-CN"/>
        </w:rPr>
        <w:t>。</w:t>
      </w:r>
    </w:p>
    <w:p w14:paraId="299E811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年初预算为4.56万元，支出决算为0.00万元，完成年初预算的0.00%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无此项支出。</w:t>
      </w:r>
    </w:p>
    <w:p w14:paraId="31385BD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5、城乡社区支出（类）城乡社区管理事务（款）其他城乡社区管理事务支出（项）</w:t>
      </w:r>
      <w:r>
        <w:rPr>
          <w:rFonts w:hint="eastAsia" w:ascii="仿宋_GB2312" w:hAnsi="仿宋_GB2312" w:eastAsia="仿宋_GB2312" w:cs="仿宋_GB2312"/>
          <w:sz w:val="32"/>
          <w:szCs w:val="32"/>
          <w:lang w:eastAsia="zh-CN"/>
        </w:rPr>
        <w:t>。</w:t>
      </w:r>
    </w:p>
    <w:p w14:paraId="0D18AAD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年初预算为0.00万元，支出决算为176.45万元，决算数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年初未做此项预算，项目支出进行追加细化。</w:t>
      </w:r>
    </w:p>
    <w:p w14:paraId="6763810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6、城乡社区支出（类）其他城乡社区支出（款）其他城乡社区支出（项）</w:t>
      </w:r>
      <w:r>
        <w:rPr>
          <w:rFonts w:hint="eastAsia" w:ascii="仿宋_GB2312" w:hAnsi="仿宋_GB2312" w:eastAsia="仿宋_GB2312" w:cs="仿宋_GB2312"/>
          <w:sz w:val="32"/>
          <w:szCs w:val="32"/>
          <w:lang w:eastAsia="zh-CN"/>
        </w:rPr>
        <w:t>。</w:t>
      </w:r>
    </w:p>
    <w:p w14:paraId="7EB8E79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年初预算为0.00万元，支出决算为89.87万元，决算数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年内人员变动使相关人员经费调整。</w:t>
      </w:r>
    </w:p>
    <w:p w14:paraId="2DC79E5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7、自然资源海洋气象等支出（类）自然资源事务（款）行政运行（项）</w:t>
      </w:r>
      <w:r>
        <w:rPr>
          <w:rFonts w:hint="eastAsia" w:ascii="仿宋_GB2312" w:hAnsi="仿宋_GB2312" w:eastAsia="仿宋_GB2312" w:cs="仿宋_GB2312"/>
          <w:sz w:val="32"/>
          <w:szCs w:val="32"/>
          <w:lang w:eastAsia="zh-CN"/>
        </w:rPr>
        <w:t>。</w:t>
      </w:r>
    </w:p>
    <w:p w14:paraId="132A981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年初预算为643.59万元，支出决算为631.98万元，完成年初预算的98.20%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合理控制办公经费支出。</w:t>
      </w:r>
    </w:p>
    <w:p w14:paraId="00EF166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8、住房保障支出（类）住房改革支出（款）住房公积金（项）</w:t>
      </w:r>
      <w:r>
        <w:rPr>
          <w:rFonts w:hint="eastAsia" w:ascii="仿宋_GB2312" w:hAnsi="仿宋_GB2312" w:eastAsia="仿宋_GB2312" w:cs="仿宋_GB2312"/>
          <w:sz w:val="32"/>
          <w:szCs w:val="32"/>
          <w:lang w:eastAsia="zh-CN"/>
        </w:rPr>
        <w:t>。</w:t>
      </w:r>
    </w:p>
    <w:p w14:paraId="7516BE3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年初预算为51.65万元，支出决算为51.64万元，完成年初预算的99.98%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年内人员变动使相关人员经费调整。</w:t>
      </w:r>
    </w:p>
    <w:p w14:paraId="75AD4E2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03F72AB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年度财政拨款基本支出804.45万元，其中：</w:t>
      </w:r>
    </w:p>
    <w:p w14:paraId="5E31FE7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686.48万元，占基本支出的85.34%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74B6535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117.97万元，占基本支出的14.66%，主要包括办公费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咨询费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4E3677D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1FD4E4F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2023年度政府性基金预算财政拨款收入0.00万元；年初结转和结余0.00万元；支出0.00万元，其中基本支出0.00万元，项目支出0.00万元；年末结转和结余0.00万元。</w:t>
      </w:r>
    </w:p>
    <w:p w14:paraId="3315BC8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266227C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2023年度国有资本经营预算财政拨款收入0.00万元；年初结转和结余0.00万元；支出0.00万元；年末结转和结余0.00万元。</w:t>
      </w:r>
    </w:p>
    <w:p w14:paraId="215BDC9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7A393FE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76825A9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“三公”经费财政拨款支出预算为15.00万元，支出决算为13.41万元，完成预算的89.40%，决算数小于预算数的主要原因是</w:t>
      </w:r>
      <w:r>
        <w:rPr>
          <w:rFonts w:hint="eastAsia" w:ascii="仿宋" w:hAnsi="仿宋" w:eastAsia="仿宋" w:cs="仿宋"/>
          <w:color w:val="auto"/>
          <w:sz w:val="32"/>
          <w:szCs w:val="32"/>
          <w:highlight w:val="white"/>
          <w:lang w:val="en-US"/>
        </w:rPr>
        <w:t>根据文件精神厉行节约，规范管理例行缩减</w:t>
      </w:r>
      <w:r>
        <w:rPr>
          <w:rFonts w:hint="eastAsia" w:ascii="仿宋" w:hAnsi="仿宋" w:eastAsia="仿宋" w:cs="仿宋"/>
          <w:color w:val="auto"/>
          <w:sz w:val="32"/>
          <w:szCs w:val="32"/>
          <w:highlight w:val="white"/>
          <w:lang w:val="en-US" w:eastAsia="zh-CN"/>
        </w:rPr>
        <w:t>各项支出</w:t>
      </w:r>
      <w:r>
        <w:rPr>
          <w:rFonts w:hint="eastAsia" w:ascii="仿宋_GB2312" w:hAnsi="仿宋_GB2312" w:eastAsia="仿宋_GB2312" w:cs="仿宋_GB2312"/>
          <w:color w:val="auto"/>
          <w:kern w:val="2"/>
          <w:sz w:val="32"/>
          <w:szCs w:val="32"/>
          <w:lang w:val="en-US" w:eastAsia="zh-CN" w:bidi="ar-SA"/>
        </w:rPr>
        <w:t>，与上年相比减少0.40万元，减少2.90%，减少的主要原因是</w:t>
      </w:r>
      <w:r>
        <w:rPr>
          <w:rFonts w:hint="eastAsia" w:ascii="仿宋" w:hAnsi="仿宋" w:eastAsia="仿宋" w:cs="仿宋"/>
          <w:color w:val="auto"/>
          <w:sz w:val="32"/>
          <w:szCs w:val="32"/>
          <w:highlight w:val="white"/>
          <w:lang w:val="en-US"/>
        </w:rPr>
        <w:t>根据文件精神厉行节约，规范管理例行缩减</w:t>
      </w:r>
      <w:r>
        <w:rPr>
          <w:rFonts w:hint="eastAsia" w:ascii="仿宋" w:hAnsi="仿宋" w:eastAsia="仿宋" w:cs="仿宋"/>
          <w:color w:val="auto"/>
          <w:sz w:val="32"/>
          <w:szCs w:val="32"/>
          <w:highlight w:val="white"/>
          <w:lang w:val="en-US" w:eastAsia="zh-CN"/>
        </w:rPr>
        <w:t>各项支出</w:t>
      </w:r>
      <w:r>
        <w:rPr>
          <w:rFonts w:hint="eastAsia" w:ascii="仿宋_GB2312" w:hAnsi="仿宋_GB2312" w:eastAsia="仿宋_GB2312" w:cs="仿宋_GB2312"/>
          <w:color w:val="auto"/>
          <w:kern w:val="2"/>
          <w:sz w:val="32"/>
          <w:szCs w:val="32"/>
          <w:lang w:val="en-US" w:eastAsia="zh-CN" w:bidi="ar-SA"/>
        </w:rPr>
        <w:t>。其中：</w:t>
      </w:r>
    </w:p>
    <w:p w14:paraId="6F8B7A2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因公出国（境）费支出预算为0.00万元，支出决算为0.00万元，决算数等于预算数的主要原因是本年未安排因公出国（境）活动；与上年一致，无增减变动，主要原因是两年均未安排因公出国（境）活动</w:t>
      </w:r>
      <w:r>
        <w:rPr>
          <w:rFonts w:hint="eastAsia" w:ascii="仿宋_GB2312" w:hAnsi="仿宋_GB2312" w:eastAsia="仿宋_GB2312" w:cs="仿宋_GB2312"/>
          <w:sz w:val="32"/>
          <w:szCs w:val="32"/>
        </w:rPr>
        <w:t>。</w:t>
      </w:r>
    </w:p>
    <w:p w14:paraId="0904009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3.00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1.90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63.33</w:t>
      </w:r>
      <w:r>
        <w:rPr>
          <w:rFonts w:hint="eastAsia" w:ascii="仿宋_GB2312" w:hAnsi="仿宋_GB2312" w:eastAsia="仿宋_GB2312" w:cs="仿宋_GB2312"/>
          <w:sz w:val="32"/>
          <w:szCs w:val="32"/>
        </w:rPr>
        <w:t>%，决算数小于预算数的主要原因是我单位严格按预算执行决算，与上年相比减少1.91万元，减少50.13%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 w:hAnsi="仿宋" w:eastAsia="仿宋" w:cs="仿宋"/>
          <w:color w:val="auto"/>
          <w:sz w:val="32"/>
          <w:szCs w:val="32"/>
          <w:highlight w:val="white"/>
          <w:lang w:val="en-US"/>
        </w:rPr>
        <w:t>根据文件精神厉行节约，规范管理例行缩减</w:t>
      </w:r>
      <w:r>
        <w:rPr>
          <w:rFonts w:hint="eastAsia" w:ascii="仿宋" w:hAnsi="仿宋" w:eastAsia="仿宋" w:cs="仿宋"/>
          <w:color w:val="auto"/>
          <w:sz w:val="32"/>
          <w:szCs w:val="32"/>
          <w:highlight w:val="white"/>
          <w:lang w:val="en-US" w:eastAsia="zh-CN"/>
        </w:rPr>
        <w:t>各项支出</w:t>
      </w:r>
      <w:r>
        <w:rPr>
          <w:rFonts w:hint="eastAsia" w:ascii="仿宋_GB2312" w:hAnsi="仿宋_GB2312" w:eastAsia="仿宋_GB2312" w:cs="仿宋_GB2312"/>
          <w:sz w:val="32"/>
          <w:szCs w:val="32"/>
        </w:rPr>
        <w:t>。</w:t>
      </w:r>
    </w:p>
    <w:p w14:paraId="63CF554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决算数等于预算数的主要原因是我单位本年未购置公务用车</w:t>
      </w:r>
      <w:r>
        <w:rPr>
          <w:rFonts w:hint="eastAsia" w:ascii="仿宋_GB2312" w:hAnsi="仿宋_GB2312" w:eastAsia="仿宋_GB2312" w:cs="仿宋_GB2312"/>
          <w:sz w:val="32"/>
          <w:szCs w:val="32"/>
        </w:rPr>
        <w:t>，与上年一致，无增减</w:t>
      </w:r>
      <w:r>
        <w:rPr>
          <w:rFonts w:hint="eastAsia" w:ascii="仿宋_GB2312" w:hAnsi="仿宋_GB2312" w:eastAsia="仿宋_GB2312" w:cs="仿宋_GB2312"/>
          <w:sz w:val="32"/>
          <w:szCs w:val="32"/>
          <w:lang w:val="en-US" w:eastAsia="zh-CN"/>
        </w:rPr>
        <w:t>变动，主要原因是两年均未购置公务用车。</w:t>
      </w:r>
    </w:p>
    <w:p w14:paraId="1066E3D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公务用车运行维护费支出预算为12.00万元，支出决算为11.52万元，完成预算的96.00%，决算数小于预算数的主要原因是</w:t>
      </w:r>
      <w:r>
        <w:rPr>
          <w:rFonts w:hint="eastAsia" w:ascii="仿宋_GB2312" w:hAnsi="仿宋_GB2312" w:eastAsia="仿宋_GB2312" w:cs="仿宋_GB2312"/>
          <w:sz w:val="32"/>
          <w:szCs w:val="32"/>
        </w:rPr>
        <w:t>我单位严格按预算执行决算</w:t>
      </w:r>
      <w:r>
        <w:rPr>
          <w:rFonts w:hint="eastAsia" w:ascii="仿宋_GB2312" w:hAnsi="仿宋_GB2312" w:eastAsia="仿宋_GB2312" w:cs="仿宋_GB2312"/>
          <w:sz w:val="32"/>
          <w:szCs w:val="32"/>
          <w:lang w:val="en-US" w:eastAsia="zh-CN"/>
        </w:rPr>
        <w:t>，与上年相比增加1.52万元，增长15.20%，增长的主要原因是公务活动导致车辆运行维护增加。</w:t>
      </w:r>
    </w:p>
    <w:p w14:paraId="5225E6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0662E5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1.90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14.09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11.52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85.91</w:t>
      </w:r>
      <w:r>
        <w:rPr>
          <w:rFonts w:hint="eastAsia" w:ascii="仿宋_GB2312" w:hAnsi="仿宋_GB2312" w:eastAsia="仿宋_GB2312" w:cs="仿宋_GB2312"/>
          <w:sz w:val="32"/>
          <w:szCs w:val="32"/>
        </w:rPr>
        <w:t>%。其中：</w:t>
      </w:r>
    </w:p>
    <w:p w14:paraId="07AA586B">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1、因公出国（境）费支出决算为0万元，全年安排因公出国（境）团组0个，累计0人次，我单位2023年度无因公出国（境）费支出。</w:t>
      </w:r>
    </w:p>
    <w:p w14:paraId="4D8CB613">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SA"/>
        </w:rPr>
        <w:t>2、</w:t>
      </w:r>
      <w:r>
        <w:rPr>
          <w:rFonts w:hint="eastAsia" w:ascii="仿宋_GB2312" w:hAnsi="仿宋_GB2312" w:eastAsia="仿宋_GB2312" w:cs="仿宋_GB2312"/>
          <w:sz w:val="32"/>
          <w:szCs w:val="32"/>
        </w:rPr>
        <w:t>公务接待费支出决算为</w:t>
      </w:r>
      <w:r>
        <w:rPr>
          <w:rFonts w:hint="eastAsia" w:ascii="仿宋_GB2312" w:hAnsi="仿宋_GB2312" w:eastAsia="仿宋_GB2312" w:cs="仿宋_GB2312"/>
          <w:sz w:val="32"/>
          <w:szCs w:val="32"/>
          <w:lang w:val="en-US" w:eastAsia="zh-CN"/>
        </w:rPr>
        <w:t>1.90</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125</w:t>
      </w:r>
      <w:r>
        <w:rPr>
          <w:rFonts w:hint="eastAsia" w:ascii="仿宋_GB2312" w:hAnsi="仿宋_GB2312" w:eastAsia="仿宋_GB2312" w:cs="仿宋_GB2312"/>
          <w:sz w:val="32"/>
          <w:szCs w:val="32"/>
        </w:rPr>
        <w:t>人次，主要是执法工作汇报、上级主管部门现场督察发生的接待支出。</w:t>
      </w:r>
    </w:p>
    <w:p w14:paraId="21107119">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11.52</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万元，岳阳市自然资源和规划行政执法支队更新公务用车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，当年没有购置公务用车。</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11.52</w:t>
      </w:r>
      <w:r>
        <w:rPr>
          <w:rFonts w:hint="eastAsia" w:ascii="仿宋_GB2312" w:hAnsi="仿宋_GB2312" w:eastAsia="仿宋_GB2312" w:cs="仿宋_GB2312"/>
          <w:sz w:val="32"/>
          <w:szCs w:val="32"/>
        </w:rPr>
        <w:t>万元，主要是公务用车维护费、路桥费、洗车费、车辆保险、车辆燃油费等支出，</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辆。</w:t>
      </w:r>
    </w:p>
    <w:p w14:paraId="7B69712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4E6689D1">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年度机关运行经费支出117.97万元，比上年决算数增加29.48万元，增长33.31%。主要原因是：</w:t>
      </w:r>
      <w:r>
        <w:rPr>
          <w:rFonts w:hint="eastAsia" w:ascii="仿宋_GB2312" w:hAnsi="仿宋_GB2312" w:eastAsia="仿宋_GB2312" w:cs="仿宋_GB2312"/>
          <w:sz w:val="32"/>
          <w:szCs w:val="32"/>
          <w:lang w:eastAsia="zh-CN"/>
        </w:rPr>
        <w:t>退休人员</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、车补</w:t>
      </w:r>
      <w:r>
        <w:rPr>
          <w:rFonts w:hint="eastAsia" w:ascii="仿宋_GB2312" w:hAnsi="仿宋_GB2312" w:eastAsia="仿宋_GB2312" w:cs="仿宋_GB2312"/>
          <w:sz w:val="32"/>
          <w:szCs w:val="32"/>
        </w:rPr>
        <w:t>费用</w:t>
      </w:r>
      <w:r>
        <w:rPr>
          <w:rFonts w:hint="eastAsia" w:ascii="仿宋_GB2312" w:hAnsi="仿宋_GB2312" w:eastAsia="仿宋_GB2312" w:cs="仿宋_GB2312"/>
          <w:sz w:val="32"/>
          <w:szCs w:val="32"/>
          <w:lang w:eastAsia="zh-CN"/>
        </w:rPr>
        <w:t>增加</w:t>
      </w:r>
      <w:r>
        <w:rPr>
          <w:rFonts w:hint="eastAsia" w:ascii="楷体" w:hAnsi="楷体" w:eastAsia="楷体" w:cs="楷体"/>
          <w:sz w:val="32"/>
          <w:szCs w:val="32"/>
        </w:rPr>
        <w:t>。</w:t>
      </w:r>
    </w:p>
    <w:p w14:paraId="45642F3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693D01D">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3年度，会议费年初预算2.00万元，支出决算为2.65万元，完成预算的132.50%。用于召开6次会议，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170</w:t>
      </w:r>
      <w:r>
        <w:rPr>
          <w:rFonts w:hint="eastAsia" w:ascii="仿宋_GB2312" w:hAnsi="仿宋_GB2312" w:eastAsia="仿宋_GB2312" w:cs="仿宋_GB2312"/>
          <w:sz w:val="32"/>
          <w:szCs w:val="32"/>
        </w:rPr>
        <w:t>人，内容为全市自然资源和规划督察执法工作推进会议</w:t>
      </w:r>
      <w:r>
        <w:rPr>
          <w:rFonts w:hint="eastAsia" w:ascii="仿宋_GB2312" w:hAnsi="仿宋_GB2312" w:eastAsia="仿宋_GB2312" w:cs="仿宋_GB2312"/>
          <w:sz w:val="32"/>
          <w:szCs w:val="32"/>
          <w:lang w:eastAsia="zh-CN"/>
        </w:rPr>
        <w:t>。</w:t>
      </w:r>
    </w:p>
    <w:p w14:paraId="2EBB7196">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培训费年初预算8.00万元，支出决算为3.48万元，完成预算的43.50%。用于开展5次培训，人数50人，内容为开展新进党员培训、执法能力素质提升、卫片执法航测系统培训。</w:t>
      </w:r>
    </w:p>
    <w:p w14:paraId="5384B9D8">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举办节庆、晚会、论坛、赛事活动年初预算0.00万元，支出决算为0.00万元，本单位无举办节庆、晚会、论坛、赛事等活动的预算和支出决算数。</w:t>
      </w:r>
    </w:p>
    <w:p w14:paraId="43980B7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01A4CB7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年度政府采购支出总额207.31万元，其中：政府采购货物支出23.33万元、政府采购工程支出22.34万元、政府采购服务支出161.64万元。授予中小企业合同金额207.31万元，占政府采购支出总额的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%，其中：授予小微企业合同金额207.31万元，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w:t>
      </w:r>
    </w:p>
    <w:p w14:paraId="1A2D088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0E36A7DC">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其他用车主要是国土支队和规划支队合并</w:t>
      </w:r>
      <w:r>
        <w:rPr>
          <w:rFonts w:hint="eastAsia" w:ascii="仿宋_GB2312" w:hAnsi="仿宋_GB2312" w:eastAsia="仿宋_GB2312" w:cs="仿宋_GB2312"/>
          <w:color w:val="auto"/>
          <w:sz w:val="32"/>
          <w:szCs w:val="32"/>
          <w:lang w:eastAsia="zh-CN"/>
        </w:rPr>
        <w:t>时</w:t>
      </w:r>
      <w:r>
        <w:rPr>
          <w:rFonts w:hint="eastAsia" w:ascii="仿宋_GB2312" w:hAnsi="仿宋_GB2312" w:eastAsia="仿宋_GB2312" w:cs="仿宋_GB2312"/>
          <w:color w:val="auto"/>
          <w:sz w:val="32"/>
          <w:szCs w:val="32"/>
        </w:rPr>
        <w:t>执法执勤用车；单位价值100万元以上设备</w:t>
      </w:r>
      <w:r>
        <w:rPr>
          <w:rFonts w:hint="eastAsia" w:ascii="仿宋_GB2312" w:hAnsi="仿宋_GB2312" w:eastAsia="仿宋_GB2312" w:cs="仿宋_GB2312"/>
          <w:color w:val="auto"/>
          <w:sz w:val="32"/>
          <w:szCs w:val="32"/>
          <w:lang w:eastAsia="zh-CN"/>
        </w:rPr>
        <w:t>（不含车辆）0</w:t>
      </w:r>
      <w:r>
        <w:rPr>
          <w:rFonts w:hint="eastAsia" w:ascii="仿宋_GB2312" w:hAnsi="仿宋_GB2312" w:eastAsia="仿宋_GB2312" w:cs="仿宋_GB2312"/>
          <w:color w:val="auto"/>
          <w:sz w:val="32"/>
          <w:szCs w:val="32"/>
        </w:rPr>
        <w:t>台（套）。</w:t>
      </w:r>
    </w:p>
    <w:p w14:paraId="69DAE378">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1CA312A1">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3AA9CF2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397C977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1,044.77万元，政府性基金预算支出0.00万元，国有资本经营预算支出0.00万元。从评价情况来看，整体支出绩效评价中，2023年整体支出1,053.75万元，其中：基本支出813.43万元，项目支出240.32万元，本单位整体支出绩效自评综合评分100分，评价结果等次为良好。</w:t>
      </w:r>
    </w:p>
    <w:p w14:paraId="5E9BBE0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组织对一般公共预算项目支出全面开展绩效自评，项目1个，共涉及资金240.32万元，占一般公共预算项目支出总额的100.00%。</w:t>
      </w:r>
      <w:bookmarkStart w:id="0" w:name="_GoBack"/>
      <w:r>
        <w:rPr>
          <w:rFonts w:hint="eastAsia" w:ascii="仿宋_GB2312" w:hAnsi="仿宋_GB2312" w:eastAsia="仿宋_GB2312" w:cs="仿宋_GB2312"/>
          <w:b w:val="0"/>
          <w:bCs w:val="0"/>
          <w:color w:val="000000"/>
          <w:kern w:val="0"/>
          <w:sz w:val="32"/>
          <w:szCs w:val="32"/>
          <w:lang w:val="en-US" w:eastAsia="zh-CN" w:bidi="ar-SA"/>
        </w:rPr>
        <w:t>组织对政府性基金预算项目支出开展绩效自评，项目0个，共涉及资金0.00万元</w:t>
      </w:r>
      <w:r>
        <w:rPr>
          <w:rFonts w:hint="eastAsia" w:ascii="仿宋_GB2312" w:hAnsi="仿宋_GB2312" w:eastAsia="仿宋_GB2312" w:cs="仿宋_GB2312"/>
          <w:color w:val="000000" w:themeColor="text1"/>
          <w:kern w:val="0"/>
          <w:sz w:val="32"/>
          <w:szCs w:val="32"/>
          <w14:textFill>
            <w14:solidFill>
              <w14:schemeClr w14:val="tx1"/>
            </w14:solidFill>
          </w14:textFill>
        </w:rPr>
        <w:t>，故无法计算占政府性基金预算项目支出总额的比重</w:t>
      </w:r>
      <w:r>
        <w:rPr>
          <w:rFonts w:hint="eastAsia" w:ascii="仿宋_GB2312" w:hAnsi="仿宋_GB2312" w:eastAsia="仿宋_GB2312" w:cs="仿宋_GB2312"/>
          <w:b w:val="0"/>
          <w:bCs w:val="0"/>
          <w:color w:val="000000"/>
          <w:kern w:val="0"/>
          <w:sz w:val="32"/>
          <w:szCs w:val="32"/>
          <w:lang w:val="en-US" w:eastAsia="zh-CN" w:bidi="ar-SA"/>
        </w:rPr>
        <w:t>。组织对国有资本经营预算项目支出开展绩效自评，项目0个，共涉及资金0.00万元，</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故无法计算占国有资本经营预算项目支出总额的比重</w:t>
      </w:r>
      <w:r>
        <w:rPr>
          <w:rFonts w:hint="eastAsia" w:ascii="仿宋_GB2312" w:hAnsi="仿宋_GB2312" w:eastAsia="仿宋_GB2312" w:cs="仿宋_GB2312"/>
          <w:b w:val="0"/>
          <w:bCs w:val="0"/>
          <w:color w:val="000000"/>
          <w:kern w:val="0"/>
          <w:sz w:val="32"/>
          <w:szCs w:val="32"/>
          <w:lang w:val="en-US" w:eastAsia="zh-CN" w:bidi="ar-SA"/>
        </w:rPr>
        <w:t>。</w:t>
      </w:r>
      <w:bookmarkEnd w:id="0"/>
      <w:r>
        <w:rPr>
          <w:rFonts w:hint="eastAsia" w:ascii="仿宋_GB2312" w:hAnsi="仿宋_GB2312" w:eastAsia="仿宋_GB2312" w:cs="仿宋_GB2312"/>
          <w:b w:val="0"/>
          <w:bCs w:val="0"/>
          <w:color w:val="000000"/>
          <w:kern w:val="0"/>
          <w:sz w:val="32"/>
          <w:szCs w:val="32"/>
          <w:lang w:val="en-US" w:eastAsia="zh-CN" w:bidi="ar-SA"/>
        </w:rPr>
        <w:t>从评价情况来看，项目绩效自评得分96分，评价结果等次为良好。</w:t>
      </w:r>
    </w:p>
    <w:p w14:paraId="16EBCA64">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5EFA8AD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1,053.75万元，执行数为1,053.75万元，完成预算的100.00%。绩效目标完成情况：一是完成年度总体部门提高办案质量；化解违建瓶颈问题；“三地两矿”实现月清月结；全面提升支队机关建设水平，坚持内部联动；督察执法一体推进。二是本单位各项项目资金其主要用途是确保单位的正常运转，促进各项工作任务顺利完成。三是在人员经费支出、公共支出严格执行区委区政府的各项制度；在项目经费的使用上，在保证各项任务顺利完成的同时，严格落实厉行节约的原则；三公经费的使用严格控制在预算申报的范围内。</w:t>
      </w:r>
    </w:p>
    <w:p w14:paraId="33BD7228">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02E514D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一是政府及平台公司主导违法问题严重，有的是对用地政策把握不准，钻研不透，出现小病带大病；有的是不管不顾合法用地硬性要求，出现主体责任缺失、监管责任缺位；有的是以临时用地之名行正式用地之实。这些都反映出党委政府耕地保护意识不强，部门之间形成政策合力不够，对违法违规占用耕地监管不到位。二是违法建设没收难以处置到位，一方面，没收后的违法建筑属国有资产，应移交政府资产管理部门，财政部门以没有文件规定为由，拒绝接收上述实物资产。另一方面，违法建设没收后要进行合法化，办理不动产登记，对在建项目进行规划调整、竣工验收、土地核验等工作有章可循，但对项目竣工后的新改扩建行为，则很难实施。三是执法基础工作有待加强。从今年省厅执法局下发的通报来看，存在数据上报不及时、信息沟通不顺畅、工作亮点不明显等问题，在案件线索管理方面也存在盯得不紧、看得不牢、执法不严的问题。为此我们要进一步提高工作效率，实行台账管理，改变原来月例会模式，建立专项工作精细管理调度，以“事不过夜、案不积卷、马上就办”的高效务实精神跑出工作“加速度”</w:t>
      </w:r>
    </w:p>
    <w:p w14:paraId="457718A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下一步改进措施：一是“精”准问效，建立卫片图斑精准调度机制；二是“严”惩新增，建立矿山责任网格化管理机制；三是“实”干当先，建立耕地保护约谈会机制；四是</w:t>
      </w:r>
      <w:r>
        <w:rPr>
          <w:rFonts w:hint="default" w:ascii="Times New Roman" w:hAnsi="Times New Roman" w:eastAsia="仿宋_GB2312" w:cs="Times New Roman"/>
          <w:sz w:val="32"/>
          <w:szCs w:val="32"/>
          <w:highlight w:val="none"/>
        </w:rPr>
        <w:t>“联”防共守，建立业务会商会机制</w:t>
      </w:r>
      <w:r>
        <w:rPr>
          <w:rFonts w:hint="eastAsia" w:ascii="Times New Roman" w:hAnsi="Times New Roman" w:eastAsia="仿宋_GB2312" w:cs="Times New Roman"/>
          <w:sz w:val="32"/>
          <w:szCs w:val="32"/>
          <w:highlight w:val="none"/>
          <w:lang w:eastAsia="zh-CN"/>
        </w:rPr>
        <w:t>；五是“诚”心服务，建立项目全周期服务机制。</w:t>
      </w:r>
    </w:p>
    <w:p w14:paraId="4550BF1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534D441">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52609999">
      <w:pPr>
        <w:pStyle w:val="12"/>
        <w:jc w:val="both"/>
        <w:rPr>
          <w:sz w:val="72"/>
          <w:szCs w:val="72"/>
        </w:rPr>
      </w:pPr>
    </w:p>
    <w:p w14:paraId="3EE27AA4">
      <w:pPr>
        <w:pStyle w:val="12"/>
        <w:jc w:val="center"/>
        <w:rPr>
          <w:sz w:val="72"/>
          <w:szCs w:val="72"/>
        </w:rPr>
      </w:pPr>
    </w:p>
    <w:p w14:paraId="3D82E60B">
      <w:pPr>
        <w:pStyle w:val="12"/>
        <w:jc w:val="center"/>
        <w:rPr>
          <w:rFonts w:hint="eastAsia" w:ascii="方正小标宋_GBK" w:hAnsi="方正小标宋_GBK" w:eastAsia="方正小标宋_GBK" w:cs="方正小标宋_GBK"/>
          <w:sz w:val="70"/>
          <w:szCs w:val="70"/>
          <w:lang w:eastAsia="zh-CN"/>
        </w:rPr>
      </w:pPr>
    </w:p>
    <w:p w14:paraId="4C30064C">
      <w:pPr>
        <w:pStyle w:val="12"/>
        <w:jc w:val="center"/>
        <w:rPr>
          <w:rFonts w:hint="eastAsia" w:ascii="方正小标宋_GBK" w:hAnsi="方正小标宋_GBK" w:eastAsia="方正小标宋_GBK" w:cs="方正小标宋_GBK"/>
          <w:sz w:val="70"/>
          <w:szCs w:val="70"/>
          <w:lang w:eastAsia="zh-CN"/>
        </w:rPr>
      </w:pPr>
    </w:p>
    <w:p w14:paraId="3531A046">
      <w:pPr>
        <w:pStyle w:val="12"/>
        <w:jc w:val="center"/>
        <w:rPr>
          <w:rFonts w:hint="eastAsia" w:ascii="方正小标宋_GBK" w:hAnsi="方正小标宋_GBK" w:eastAsia="方正小标宋_GBK" w:cs="方正小标宋_GBK"/>
          <w:sz w:val="72"/>
          <w:szCs w:val="72"/>
        </w:rPr>
      </w:pPr>
    </w:p>
    <w:p w14:paraId="7D1ECF69">
      <w:pPr>
        <w:pStyle w:val="12"/>
        <w:jc w:val="center"/>
        <w:rPr>
          <w:rFonts w:hint="eastAsia" w:ascii="方正小标宋_GBK" w:hAnsi="方正小标宋_GBK" w:eastAsia="方正小标宋_GBK" w:cs="方正小标宋_GBK"/>
          <w:sz w:val="72"/>
          <w:szCs w:val="72"/>
        </w:rPr>
      </w:pPr>
    </w:p>
    <w:p w14:paraId="1196C98F">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7B1149E9">
      <w:pPr>
        <w:jc w:val="center"/>
        <w:rPr>
          <w:rFonts w:hint="eastAsia" w:ascii="方正小标宋_GBK" w:hAnsi="方正小标宋_GBK" w:eastAsia="方正小标宋_GBK" w:cs="方正小标宋_GBK"/>
          <w:color w:val="000000"/>
          <w:kern w:val="0"/>
          <w:sz w:val="70"/>
          <w:szCs w:val="70"/>
        </w:rPr>
      </w:pPr>
    </w:p>
    <w:p w14:paraId="5690C5D7">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116C0376">
      <w:pPr>
        <w:pStyle w:val="2"/>
      </w:pPr>
    </w:p>
    <w:p w14:paraId="7BFA8510">
      <w:pPr>
        <w:pStyle w:val="3"/>
      </w:pPr>
    </w:p>
    <w:p w14:paraId="191D42C7"/>
    <w:p w14:paraId="5804F7B8">
      <w:pPr>
        <w:pStyle w:val="2"/>
      </w:pPr>
    </w:p>
    <w:p w14:paraId="2631E8BE">
      <w:pPr>
        <w:pStyle w:val="3"/>
      </w:pPr>
    </w:p>
    <w:p w14:paraId="265158D4"/>
    <w:p w14:paraId="42DFF371">
      <w:pPr>
        <w:pStyle w:val="2"/>
      </w:pPr>
    </w:p>
    <w:p w14:paraId="3A870391">
      <w:pPr>
        <w:pStyle w:val="3"/>
      </w:pPr>
    </w:p>
    <w:p w14:paraId="25287323"/>
    <w:p w14:paraId="21FEF447">
      <w:pPr>
        <w:pStyle w:val="2"/>
      </w:pPr>
    </w:p>
    <w:p w14:paraId="7F13D1D3">
      <w:pPr>
        <w:pStyle w:val="3"/>
      </w:pPr>
    </w:p>
    <w:p w14:paraId="2665C9BB"/>
    <w:p w14:paraId="11E3D837">
      <w:pPr>
        <w:pStyle w:val="2"/>
      </w:pPr>
    </w:p>
    <w:p w14:paraId="31FAF194">
      <w:pPr>
        <w:pStyle w:val="3"/>
      </w:pPr>
    </w:p>
    <w:p w14:paraId="22891996"/>
    <w:p w14:paraId="6A3603C5">
      <w:pPr>
        <w:pStyle w:val="2"/>
      </w:pPr>
    </w:p>
    <w:p w14:paraId="3F9522CF">
      <w:pPr>
        <w:pStyle w:val="3"/>
      </w:pPr>
    </w:p>
    <w:p w14:paraId="3C1A6C7E"/>
    <w:p w14:paraId="7D64C870">
      <w:pPr>
        <w:pStyle w:val="2"/>
      </w:pPr>
    </w:p>
    <w:p w14:paraId="394804C4">
      <w:pPr>
        <w:pStyle w:val="3"/>
      </w:pPr>
    </w:p>
    <w:p w14:paraId="110AFC21"/>
    <w:p w14:paraId="28B58733">
      <w:pPr>
        <w:pStyle w:val="2"/>
      </w:pPr>
    </w:p>
    <w:p w14:paraId="6312ABC5">
      <w:pPr>
        <w:pStyle w:val="3"/>
      </w:pPr>
    </w:p>
    <w:p w14:paraId="40EC8D6E"/>
    <w:p w14:paraId="04CE8142">
      <w:pPr>
        <w:pStyle w:val="2"/>
      </w:pPr>
    </w:p>
    <w:p w14:paraId="5BA0590C">
      <w:pPr>
        <w:pStyle w:val="3"/>
      </w:pPr>
    </w:p>
    <w:p w14:paraId="3DA0FB5E"/>
    <w:p w14:paraId="13B618C3">
      <w:pPr>
        <w:pStyle w:val="2"/>
      </w:pPr>
    </w:p>
    <w:p w14:paraId="3A0021DC">
      <w:pPr>
        <w:pStyle w:val="3"/>
      </w:pPr>
    </w:p>
    <w:p w14:paraId="0CCD6B11"/>
    <w:p w14:paraId="0874BDC5">
      <w:pPr>
        <w:pStyle w:val="2"/>
      </w:pPr>
    </w:p>
    <w:p w14:paraId="71DE34C3">
      <w:pPr>
        <w:pStyle w:val="3"/>
      </w:pPr>
    </w:p>
    <w:p w14:paraId="326B16EA">
      <w:pPr>
        <w:pStyle w:val="3"/>
      </w:pPr>
    </w:p>
    <w:p w14:paraId="4753DEB7"/>
    <w:p w14:paraId="69843F5C">
      <w:pPr>
        <w:pStyle w:val="2"/>
      </w:pPr>
    </w:p>
    <w:p w14:paraId="04C7CD61">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一、</w:t>
      </w:r>
      <w:r>
        <w:rPr>
          <w:rFonts w:hint="eastAsia" w:ascii="仿宋_GB2312" w:hAnsi="仿宋_GB2312" w:eastAsia="仿宋_GB2312" w:cs="仿宋_GB2312"/>
          <w:color w:val="000000"/>
          <w:kern w:val="0"/>
          <w:sz w:val="32"/>
          <w:szCs w:val="32"/>
        </w:rPr>
        <w:t>政拨款收入：指本级财政当年拨付的资金。</w:t>
      </w:r>
    </w:p>
    <w:p w14:paraId="52B9D751">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w:t>
      </w:r>
      <w:r>
        <w:rPr>
          <w:rFonts w:hint="eastAsia" w:ascii="仿宋_GB2312" w:hAnsi="仿宋_GB2312" w:eastAsia="仿宋_GB2312" w:cs="仿宋_GB2312"/>
          <w:color w:val="000000"/>
          <w:kern w:val="0"/>
          <w:sz w:val="32"/>
          <w:szCs w:val="32"/>
        </w:rPr>
        <w:t>使用非财政拨款结余：指事业单位在当年的“财政拨款收入”、“财政拨款结转和结余资金”、“上级补助收入”、“事业收入”、“经营收入”、“附属单位上缴收入”、“其他收入”不足以安排当年支出情况下，使用以前年度积累的使用非财政拨款结余弥补收支差额的资金（事业单位当年收支相抵后按国家规定提取、用于弥补以后年度收支差额的非财政拨款结余）。</w:t>
      </w:r>
    </w:p>
    <w:p w14:paraId="1C01F6A6">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w:t>
      </w:r>
      <w:r>
        <w:rPr>
          <w:rFonts w:hint="eastAsia" w:ascii="仿宋_GB2312" w:hAnsi="仿宋_GB2312" w:eastAsia="仿宋_GB2312" w:cs="仿宋_GB2312"/>
          <w:color w:val="000000"/>
          <w:kern w:val="0"/>
          <w:sz w:val="32"/>
          <w:szCs w:val="32"/>
        </w:rPr>
        <w:t>上年结转和结余：指以前年度尚未完成、结转到本年按有关规定继续使用的资金。</w:t>
      </w:r>
    </w:p>
    <w:p w14:paraId="617BD684">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四、</w:t>
      </w:r>
      <w:r>
        <w:rPr>
          <w:rFonts w:hint="eastAsia" w:ascii="仿宋_GB2312" w:hAnsi="仿宋_GB2312" w:eastAsia="仿宋_GB2312" w:cs="仿宋_GB2312"/>
          <w:color w:val="000000"/>
          <w:kern w:val="0"/>
          <w:sz w:val="32"/>
          <w:szCs w:val="32"/>
        </w:rPr>
        <w:t>结余分配：指事业单位按规定对非财政补助结余资金提取的职工福利基金、事业基金和缴纳的所得税，以及减少单位按规定应缴回的基本建设竣工项目结余资金。</w:t>
      </w:r>
    </w:p>
    <w:p w14:paraId="65B8C70D">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五、</w:t>
      </w:r>
      <w:r>
        <w:rPr>
          <w:rFonts w:hint="eastAsia" w:ascii="仿宋_GB2312" w:hAnsi="仿宋_GB2312" w:eastAsia="仿宋_GB2312" w:cs="仿宋_GB2312"/>
          <w:color w:val="000000"/>
          <w:kern w:val="0"/>
          <w:sz w:val="32"/>
          <w:szCs w:val="32"/>
        </w:rPr>
        <w:t>年末结转和结余资金：指本年度或以前年度预算安排、因客观条件发生变化无法按原计划实施，需要延迟到以后年度按有关规定继续使用的资金。</w:t>
      </w:r>
    </w:p>
    <w:p w14:paraId="6127EDA9">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六、</w:t>
      </w:r>
      <w:r>
        <w:rPr>
          <w:rFonts w:hint="eastAsia" w:ascii="仿宋_GB2312" w:hAnsi="仿宋_GB2312" w:eastAsia="仿宋_GB2312" w:cs="仿宋_GB2312"/>
          <w:color w:val="000000"/>
          <w:kern w:val="0"/>
          <w:sz w:val="32"/>
          <w:szCs w:val="32"/>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430A90D3">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七、</w:t>
      </w:r>
      <w:r>
        <w:rPr>
          <w:rFonts w:hint="eastAsia" w:ascii="仿宋_GB2312" w:hAnsi="仿宋_GB2312" w:eastAsia="仿宋_GB2312" w:cs="仿宋_GB2312"/>
          <w:color w:val="000000"/>
          <w:kern w:val="0"/>
          <w:sz w:val="32"/>
          <w:szCs w:val="32"/>
        </w:rPr>
        <w:t>卫生健康支出（类）：是指用于医疗卫生与计划生育方面的支出，包括保障机构正常运转、完成日常和特定的工作任务或事业发展目标的支出。</w:t>
      </w:r>
    </w:p>
    <w:p w14:paraId="3C71CE50">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八、</w:t>
      </w:r>
      <w:r>
        <w:rPr>
          <w:rFonts w:hint="eastAsia" w:ascii="仿宋_GB2312" w:hAnsi="仿宋_GB2312" w:eastAsia="仿宋_GB2312" w:cs="仿宋_GB2312"/>
          <w:color w:val="000000"/>
          <w:kern w:val="0"/>
          <w:sz w:val="32"/>
          <w:szCs w:val="32"/>
        </w:rPr>
        <w:t>城乡社区支出（类）：是指用于城乡社区事务支出，包括保障机构正常运转、完成日常和特定的工作任务或事业发展目标的支出。</w:t>
      </w:r>
    </w:p>
    <w:p w14:paraId="665A6E2D">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九、</w:t>
      </w:r>
      <w:r>
        <w:rPr>
          <w:rFonts w:hint="eastAsia" w:ascii="仿宋_GB2312" w:hAnsi="仿宋_GB2312" w:eastAsia="仿宋_GB2312" w:cs="仿宋_GB2312"/>
          <w:color w:val="000000"/>
          <w:kern w:val="0"/>
          <w:sz w:val="32"/>
          <w:szCs w:val="32"/>
        </w:rPr>
        <w:t>自然资源海洋气象等支出（类）：是指用于自然资源、海洋、测绘、气象等公益服务事业方面的支出，包括保障机构正常运转、完成日常和特定的工作任务或事业发展目标的支出。</w:t>
      </w:r>
    </w:p>
    <w:p w14:paraId="0CE6EA02">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w:t>
      </w:r>
      <w:r>
        <w:rPr>
          <w:rFonts w:hint="eastAsia" w:ascii="仿宋_GB2312" w:hAnsi="仿宋_GB2312" w:eastAsia="仿宋_GB2312" w:cs="仿宋_GB2312"/>
          <w:color w:val="000000"/>
          <w:kern w:val="0"/>
          <w:sz w:val="32"/>
          <w:szCs w:val="32"/>
        </w:rPr>
        <w:t>其他支出（类）：是指用于反映除上述项目以外其他不能划分到具体功能科目中的支出项目，包括保障机构正常运转、完成日常和特定的工作任务或事业发展目标的支出。</w:t>
      </w:r>
    </w:p>
    <w:p w14:paraId="2E5B4EF6">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十一、</w:t>
      </w:r>
      <w:r>
        <w:rPr>
          <w:rFonts w:hint="eastAsia" w:ascii="仿宋_GB2312" w:hAnsi="仿宋_GB2312" w:eastAsia="仿宋_GB2312" w:cs="仿宋_GB2312"/>
          <w:color w:val="000000"/>
          <w:kern w:val="0"/>
          <w:sz w:val="32"/>
          <w:szCs w:val="32"/>
        </w:rPr>
        <w:t>基本支出：指保障机构正常运转、完成支日常工作任务而发生的人员支出和公用支出。</w:t>
      </w:r>
    </w:p>
    <w:p w14:paraId="1AA66AC8">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十二、</w:t>
      </w:r>
      <w:r>
        <w:rPr>
          <w:rFonts w:hint="eastAsia" w:ascii="仿宋_GB2312" w:hAnsi="仿宋_GB2312" w:eastAsia="仿宋_GB2312" w:cs="仿宋_GB2312"/>
          <w:color w:val="000000"/>
          <w:kern w:val="0"/>
          <w:sz w:val="32"/>
          <w:szCs w:val="32"/>
        </w:rPr>
        <w:t>项目支出：指在基本支出之外为完成特定行政任务和事业发展目标所发生的支出。</w:t>
      </w:r>
    </w:p>
    <w:p w14:paraId="6C085D08">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十三、</w:t>
      </w:r>
      <w:r>
        <w:rPr>
          <w:rFonts w:hint="eastAsia" w:ascii="仿宋_GB2312" w:hAnsi="仿宋_GB2312" w:eastAsia="仿宋_GB2312" w:cs="仿宋_GB2312"/>
          <w:color w:val="000000"/>
          <w:kern w:val="0"/>
          <w:sz w:val="32"/>
          <w:szCs w:val="32"/>
        </w:rPr>
        <w:t>“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BCE5D54">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十四、</w:t>
      </w:r>
      <w:r>
        <w:rPr>
          <w:rFonts w:hint="eastAsia" w:ascii="仿宋_GB2312" w:hAnsi="仿宋_GB2312" w:eastAsia="仿宋_GB2312" w:cs="仿宋_GB2312"/>
          <w:color w:val="000000"/>
          <w:kern w:val="0"/>
          <w:sz w:val="32"/>
          <w:szCs w:val="32"/>
        </w:rPr>
        <w:t>工资福利支出：反映单位开支的在职职工和编制外长期聘用人员的各类劳动报酬，以及为上述人员缴纳的各项社会保险费等。</w:t>
      </w:r>
    </w:p>
    <w:p w14:paraId="6A3A3E29">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十五、</w:t>
      </w:r>
      <w:r>
        <w:rPr>
          <w:rFonts w:hint="eastAsia" w:ascii="仿宋_GB2312" w:hAnsi="仿宋_GB2312" w:eastAsia="仿宋_GB2312" w:cs="仿宋_GB2312"/>
          <w:color w:val="000000"/>
          <w:kern w:val="0"/>
          <w:sz w:val="32"/>
          <w:szCs w:val="32"/>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07C09B77">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十六、</w:t>
      </w:r>
      <w:r>
        <w:rPr>
          <w:rFonts w:hint="eastAsia" w:ascii="仿宋_GB2312" w:hAnsi="仿宋_GB2312" w:eastAsia="仿宋_GB2312" w:cs="仿宋_GB2312"/>
          <w:color w:val="000000"/>
          <w:kern w:val="0"/>
          <w:sz w:val="32"/>
          <w:szCs w:val="32"/>
        </w:rPr>
        <w:t>津贴补贴：反映经国家批准建立的机关事业单位艰苦边远地区津贴、机关工作人员地区附加津贴、机关工作人员岗位津贴、事业单位工作人员特殊岗位津贴补贴等。</w:t>
      </w:r>
    </w:p>
    <w:p w14:paraId="4D18F19B">
      <w:pPr>
        <w:numPr>
          <w:ilvl w:val="0"/>
          <w:numId w:val="0"/>
        </w:num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十七、</w:t>
      </w:r>
      <w:r>
        <w:rPr>
          <w:rFonts w:hint="eastAsia" w:ascii="仿宋_GB2312" w:hAnsi="仿宋_GB2312" w:eastAsia="仿宋_GB2312" w:cs="仿宋_GB2312"/>
          <w:color w:val="000000"/>
          <w:kern w:val="0"/>
          <w:sz w:val="32"/>
          <w:szCs w:val="32"/>
        </w:rPr>
        <w:t>奖金：反映机关工作人员年终一次性奖金。</w:t>
      </w:r>
    </w:p>
    <w:p w14:paraId="65B72290">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十八、</w:t>
      </w:r>
      <w:r>
        <w:rPr>
          <w:rFonts w:hint="eastAsia" w:ascii="仿宋_GB2312" w:hAnsi="仿宋_GB2312" w:eastAsia="仿宋_GB2312" w:cs="仿宋_GB2312"/>
          <w:color w:val="000000"/>
          <w:kern w:val="0"/>
          <w:sz w:val="32"/>
          <w:szCs w:val="32"/>
        </w:rPr>
        <w:t>伙食补助费：反映单位发给职工的伙食补助费，如误餐补助等。</w:t>
      </w:r>
    </w:p>
    <w:p w14:paraId="63DE1B30">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十九、</w:t>
      </w:r>
      <w:r>
        <w:rPr>
          <w:rFonts w:hint="eastAsia" w:ascii="仿宋_GB2312" w:hAnsi="仿宋_GB2312" w:eastAsia="仿宋_GB2312" w:cs="仿宋_GB2312"/>
          <w:color w:val="000000"/>
          <w:kern w:val="0"/>
          <w:sz w:val="32"/>
          <w:szCs w:val="32"/>
        </w:rPr>
        <w:t>机关事业单位基本养老保险缴费：反映机关事业单位缴纳的基本养老保险费。由单位代扣的工作人员基本养老保险缴费，不在此科目反映。</w:t>
      </w:r>
    </w:p>
    <w:p w14:paraId="2E4ECED3">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w:t>
      </w:r>
      <w:r>
        <w:rPr>
          <w:rFonts w:hint="eastAsia" w:ascii="仿宋_GB2312" w:hAnsi="仿宋_GB2312" w:eastAsia="仿宋_GB2312" w:cs="仿宋_GB2312"/>
          <w:color w:val="000000"/>
          <w:kern w:val="0"/>
          <w:sz w:val="32"/>
          <w:szCs w:val="32"/>
        </w:rPr>
        <w:t>职工基本医疗保险缴费：反映单位为职工缴纳的基本医疗保险费。</w:t>
      </w:r>
    </w:p>
    <w:p w14:paraId="13754FEC">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二十一、</w:t>
      </w:r>
      <w:r>
        <w:rPr>
          <w:rFonts w:hint="eastAsia" w:ascii="仿宋_GB2312" w:hAnsi="仿宋_GB2312" w:eastAsia="仿宋_GB2312" w:cs="仿宋_GB2312"/>
          <w:color w:val="000000"/>
          <w:kern w:val="0"/>
          <w:sz w:val="32"/>
          <w:szCs w:val="32"/>
        </w:rPr>
        <w:t>公务员医疗补助缴费：反映按规定可享受公务员医疗补助单位为职工缴纳的公务员医疗补助费。</w:t>
      </w:r>
    </w:p>
    <w:p w14:paraId="5BA0A3AE">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二十二、</w:t>
      </w:r>
      <w:r>
        <w:rPr>
          <w:rFonts w:hint="eastAsia" w:ascii="仿宋_GB2312" w:hAnsi="仿宋_GB2312" w:eastAsia="仿宋_GB2312" w:cs="仿宋_GB2312"/>
          <w:color w:val="000000"/>
          <w:kern w:val="0"/>
          <w:sz w:val="32"/>
          <w:szCs w:val="32"/>
        </w:rPr>
        <w:t>其他社会保障缴费：反映单位为职工缴纳的基本医疗、失业、工伤、生育等社会保险费，残疾人就业保障金，军队（含武警）为军人缴纳的伤亡、退役医疗等社会保险费。</w:t>
      </w:r>
    </w:p>
    <w:p w14:paraId="37C9CE4E">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二十三、</w:t>
      </w:r>
      <w:r>
        <w:rPr>
          <w:rFonts w:hint="eastAsia" w:ascii="仿宋_GB2312" w:hAnsi="仿宋_GB2312" w:eastAsia="仿宋_GB2312" w:cs="仿宋_GB2312"/>
          <w:color w:val="000000"/>
          <w:kern w:val="0"/>
          <w:sz w:val="32"/>
          <w:szCs w:val="32"/>
        </w:rPr>
        <w:t>住房公积金：反映行政事业单位按人力资源和社会保障部、财政部规定的基本工资和津贴补贴以及规定比例为职工缴纳的住房公积金。</w:t>
      </w:r>
    </w:p>
    <w:p w14:paraId="64944208">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二十四、</w:t>
      </w:r>
      <w:r>
        <w:rPr>
          <w:rFonts w:hint="eastAsia" w:ascii="仿宋_GB2312" w:hAnsi="仿宋_GB2312" w:eastAsia="仿宋_GB2312" w:cs="仿宋_GB2312"/>
          <w:color w:val="000000"/>
          <w:kern w:val="0"/>
          <w:sz w:val="32"/>
          <w:szCs w:val="32"/>
        </w:rPr>
        <w:t>商品和服务支出：反映单位购买商品和服务的支出（不包括用于购置固定资产的支出、战略性和应急储备支出）。</w:t>
      </w:r>
    </w:p>
    <w:p w14:paraId="6F5A40CF">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二十五、</w:t>
      </w:r>
      <w:r>
        <w:rPr>
          <w:rFonts w:hint="eastAsia" w:ascii="仿宋_GB2312" w:hAnsi="仿宋_GB2312" w:eastAsia="仿宋_GB2312" w:cs="仿宋_GB2312"/>
          <w:color w:val="000000"/>
          <w:kern w:val="0"/>
          <w:sz w:val="32"/>
          <w:szCs w:val="32"/>
        </w:rPr>
        <w:t>办公费：反映单位购买按财务会计制度规定不符合固定资产确认标准的日常办公用品、书报杂志等支出。</w:t>
      </w:r>
    </w:p>
    <w:p w14:paraId="3F9600CA">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二十六、</w:t>
      </w:r>
      <w:r>
        <w:rPr>
          <w:rFonts w:hint="eastAsia" w:ascii="仿宋_GB2312" w:hAnsi="仿宋_GB2312" w:eastAsia="仿宋_GB2312" w:cs="仿宋_GB2312"/>
          <w:color w:val="000000"/>
          <w:kern w:val="0"/>
          <w:sz w:val="32"/>
          <w:szCs w:val="32"/>
        </w:rPr>
        <w:t>印刷费：反映单位的印刷费支出。</w:t>
      </w:r>
    </w:p>
    <w:p w14:paraId="6D8B2903">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二十七、</w:t>
      </w:r>
      <w:r>
        <w:rPr>
          <w:rFonts w:hint="eastAsia" w:ascii="仿宋_GB2312" w:hAnsi="仿宋_GB2312" w:eastAsia="仿宋_GB2312" w:cs="仿宋_GB2312"/>
          <w:color w:val="000000"/>
          <w:kern w:val="0"/>
          <w:sz w:val="32"/>
          <w:szCs w:val="32"/>
        </w:rPr>
        <w:t>邮电费：反映单位开支的信函、包裹、货物等物品的邮寄费及电话费、电报费、传真费、网络通讯费等。</w:t>
      </w:r>
    </w:p>
    <w:p w14:paraId="7152D803">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二十八、</w:t>
      </w:r>
      <w:r>
        <w:rPr>
          <w:rFonts w:hint="eastAsia" w:ascii="仿宋_GB2312" w:hAnsi="仿宋_GB2312" w:eastAsia="仿宋_GB2312" w:cs="仿宋_GB2312"/>
          <w:color w:val="000000"/>
          <w:kern w:val="0"/>
          <w:sz w:val="32"/>
          <w:szCs w:val="32"/>
        </w:rPr>
        <w:t>差旅费：反映单位工作人员出差发生的城市间交通费、住宿费、伙食补贴费和市内交通费。</w:t>
      </w:r>
    </w:p>
    <w:p w14:paraId="61D28FAC">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二十九、</w:t>
      </w:r>
      <w:r>
        <w:rPr>
          <w:rFonts w:hint="eastAsia" w:ascii="仿宋_GB2312" w:hAnsi="仿宋_GB2312" w:eastAsia="仿宋_GB2312" w:cs="仿宋_GB2312"/>
          <w:color w:val="000000"/>
          <w:kern w:val="0"/>
          <w:sz w:val="32"/>
          <w:szCs w:val="32"/>
        </w:rPr>
        <w:t>维修(护)费：反映单位日常开支的固定资产（不包括车船等交通工具）修理和维护费用，网络信息系统运行与维护费用，以及按规定提取的修购基金。</w:t>
      </w:r>
    </w:p>
    <w:p w14:paraId="601B0287">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w:t>
      </w:r>
      <w:r>
        <w:rPr>
          <w:rFonts w:hint="eastAsia" w:ascii="仿宋_GB2312" w:hAnsi="仿宋_GB2312" w:eastAsia="仿宋_GB2312" w:cs="仿宋_GB2312"/>
          <w:color w:val="000000"/>
          <w:kern w:val="0"/>
          <w:sz w:val="32"/>
          <w:szCs w:val="32"/>
        </w:rPr>
        <w:t>租赁费：反映租赁办公用房、宿舍、专用通讯网以及其他设备等方面的费用。</w:t>
      </w:r>
    </w:p>
    <w:p w14:paraId="49D96E38">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三十一、</w:t>
      </w:r>
      <w:r>
        <w:rPr>
          <w:rFonts w:hint="eastAsia" w:ascii="仿宋_GB2312" w:hAnsi="仿宋_GB2312" w:eastAsia="仿宋_GB2312" w:cs="仿宋_GB2312"/>
          <w:color w:val="000000"/>
          <w:kern w:val="0"/>
          <w:sz w:val="32"/>
          <w:szCs w:val="32"/>
        </w:rPr>
        <w:t>培训费：反映除因公出国（境）培训费以外的各类培训支出。</w:t>
      </w:r>
    </w:p>
    <w:p w14:paraId="54AEBCB6">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三十二、</w:t>
      </w:r>
      <w:r>
        <w:rPr>
          <w:rFonts w:hint="eastAsia" w:ascii="仿宋_GB2312" w:hAnsi="仿宋_GB2312" w:eastAsia="仿宋_GB2312" w:cs="仿宋_GB2312"/>
          <w:color w:val="000000"/>
          <w:kern w:val="0"/>
          <w:sz w:val="32"/>
          <w:szCs w:val="32"/>
        </w:rPr>
        <w:t>公务接待费：反映单位按规定开支的各类公务接待（含外宾接待）费用。</w:t>
      </w:r>
    </w:p>
    <w:p w14:paraId="54230984">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三十三、</w:t>
      </w:r>
      <w:r>
        <w:rPr>
          <w:rFonts w:hint="eastAsia" w:ascii="仿宋_GB2312" w:hAnsi="仿宋_GB2312" w:eastAsia="仿宋_GB2312" w:cs="仿宋_GB2312"/>
          <w:color w:val="000000"/>
          <w:kern w:val="0"/>
          <w:sz w:val="32"/>
          <w:szCs w:val="32"/>
        </w:rPr>
        <w:t>劳务费：反映支付给单位和个人的劳务费用，如临时聘用人员、钟点工工资，稿费、翻译费，评审费等。</w:t>
      </w:r>
    </w:p>
    <w:p w14:paraId="7D3B94D2">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三十四、</w:t>
      </w:r>
      <w:r>
        <w:rPr>
          <w:rFonts w:hint="eastAsia" w:ascii="仿宋_GB2312" w:hAnsi="仿宋_GB2312" w:eastAsia="仿宋_GB2312" w:cs="仿宋_GB2312"/>
          <w:color w:val="000000"/>
          <w:kern w:val="0"/>
          <w:sz w:val="32"/>
          <w:szCs w:val="32"/>
        </w:rPr>
        <w:t>委托业务费：反映因委托外单位办理业务而支付的委托业务费。</w:t>
      </w:r>
    </w:p>
    <w:p w14:paraId="5506A2F6">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三十五、</w:t>
      </w:r>
      <w:r>
        <w:rPr>
          <w:rFonts w:hint="eastAsia" w:ascii="仿宋_GB2312" w:hAnsi="仿宋_GB2312" w:eastAsia="仿宋_GB2312" w:cs="仿宋_GB2312"/>
          <w:color w:val="000000"/>
          <w:kern w:val="0"/>
          <w:sz w:val="32"/>
          <w:szCs w:val="32"/>
        </w:rPr>
        <w:t>工会经费：反映单位按规定提取的工会经费。</w:t>
      </w:r>
    </w:p>
    <w:p w14:paraId="23773613">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三十六、</w:t>
      </w:r>
      <w:r>
        <w:rPr>
          <w:rFonts w:hint="eastAsia" w:ascii="仿宋_GB2312" w:hAnsi="仿宋_GB2312" w:eastAsia="仿宋_GB2312" w:cs="仿宋_GB2312"/>
          <w:color w:val="000000"/>
          <w:kern w:val="0"/>
          <w:sz w:val="32"/>
          <w:szCs w:val="32"/>
        </w:rPr>
        <w:t>公务用车运行维护费：反映单位按规定保留的公务用车燃料费、维修费、过桥过路费、保险费、安全奖励费用等支出。</w:t>
      </w:r>
    </w:p>
    <w:p w14:paraId="46099D29">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三十七、</w:t>
      </w:r>
      <w:r>
        <w:rPr>
          <w:rFonts w:hint="eastAsia" w:ascii="仿宋_GB2312" w:hAnsi="仿宋_GB2312" w:eastAsia="仿宋_GB2312" w:cs="仿宋_GB2312"/>
          <w:color w:val="000000"/>
          <w:kern w:val="0"/>
          <w:sz w:val="32"/>
          <w:szCs w:val="32"/>
        </w:rPr>
        <w:t>其他交通费用：反映单位除公务用车运行维护费以外的其他交通费用。如公务交通补贴，租车费用、出租车费用，飞机、船舶等的燃料费、维修费、保险费等。</w:t>
      </w:r>
    </w:p>
    <w:p w14:paraId="36E5BDD3">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三十八、</w:t>
      </w:r>
      <w:r>
        <w:rPr>
          <w:rFonts w:hint="eastAsia" w:ascii="仿宋_GB2312" w:hAnsi="仿宋_GB2312" w:eastAsia="仿宋_GB2312" w:cs="仿宋_GB2312"/>
          <w:color w:val="000000"/>
          <w:kern w:val="0"/>
          <w:sz w:val="32"/>
          <w:szCs w:val="32"/>
        </w:rPr>
        <w:t>其他商品和服务支出：反映上述科目未包括的日常公用支出。如行政赔偿费和诉讼费、国内组织的会员费、来访费、广告宣传、其他劳务费及离休人员特需费、公用经费等。</w:t>
      </w:r>
    </w:p>
    <w:p w14:paraId="620E81D7">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三十九、</w:t>
      </w:r>
      <w:r>
        <w:rPr>
          <w:rFonts w:hint="eastAsia" w:ascii="仿宋_GB2312" w:hAnsi="仿宋_GB2312" w:eastAsia="仿宋_GB2312" w:cs="仿宋_GB2312"/>
          <w:color w:val="000000"/>
          <w:kern w:val="0"/>
          <w:sz w:val="32"/>
          <w:szCs w:val="32"/>
        </w:rPr>
        <w:t>对个人和家庭的补助：反映政府用于对个人和家庭的补助支出。</w:t>
      </w:r>
    </w:p>
    <w:p w14:paraId="34D4AB6A">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四十、</w:t>
      </w:r>
      <w:r>
        <w:rPr>
          <w:rFonts w:hint="eastAsia" w:ascii="仿宋_GB2312" w:hAnsi="仿宋_GB2312" w:eastAsia="仿宋_GB2312" w:cs="仿宋_GB2312"/>
          <w:color w:val="000000"/>
          <w:kern w:val="0"/>
          <w:sz w:val="32"/>
          <w:szCs w:val="32"/>
        </w:rPr>
        <w:t>退休费：反映行政事业单位和军队移交政府安置的退休人员的退休费和其他补贴。</w:t>
      </w:r>
    </w:p>
    <w:p w14:paraId="6FDAE4EE">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bidi="ar-SA"/>
        </w:rPr>
        <w:t>四十一、</w:t>
      </w:r>
      <w:r>
        <w:rPr>
          <w:rFonts w:hint="eastAsia" w:ascii="仿宋_GB2312" w:hAnsi="仿宋_GB2312" w:eastAsia="仿宋_GB2312" w:cs="仿宋_GB2312"/>
          <w:color w:val="000000"/>
          <w:kern w:val="0"/>
          <w:sz w:val="32"/>
          <w:szCs w:val="32"/>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4BD1804E">
      <w:pPr>
        <w:pStyle w:val="3"/>
      </w:pPr>
    </w:p>
    <w:p w14:paraId="208AD7AE"/>
    <w:p w14:paraId="5070D8C5">
      <w:pPr>
        <w:pStyle w:val="2"/>
      </w:pPr>
    </w:p>
    <w:p w14:paraId="54743481">
      <w:pPr>
        <w:pStyle w:val="3"/>
      </w:pPr>
    </w:p>
    <w:p w14:paraId="75343E8F"/>
    <w:p w14:paraId="154E3EBD">
      <w:pPr>
        <w:pStyle w:val="2"/>
      </w:pPr>
    </w:p>
    <w:p w14:paraId="127AE531">
      <w:pPr>
        <w:pStyle w:val="3"/>
      </w:pPr>
    </w:p>
    <w:p w14:paraId="00138DA7"/>
    <w:p w14:paraId="28936239">
      <w:pPr>
        <w:pStyle w:val="2"/>
      </w:pPr>
    </w:p>
    <w:p w14:paraId="612FE270">
      <w:pPr>
        <w:pStyle w:val="3"/>
      </w:pPr>
    </w:p>
    <w:p w14:paraId="469427DD"/>
    <w:p w14:paraId="5F036BB8">
      <w:pPr>
        <w:pStyle w:val="2"/>
      </w:pPr>
    </w:p>
    <w:p w14:paraId="118384F1">
      <w:pPr>
        <w:pStyle w:val="3"/>
      </w:pPr>
    </w:p>
    <w:p w14:paraId="2FE28180"/>
    <w:p w14:paraId="6AE6C38A">
      <w:pPr>
        <w:pStyle w:val="2"/>
      </w:pPr>
    </w:p>
    <w:p w14:paraId="245A8D4E">
      <w:pPr>
        <w:pStyle w:val="3"/>
      </w:pPr>
    </w:p>
    <w:p w14:paraId="1B304B1B">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41DEEB96">
      <w:pPr>
        <w:pStyle w:val="12"/>
        <w:jc w:val="both"/>
        <w:rPr>
          <w:rFonts w:hint="eastAsia" w:ascii="方正小标宋_GBK" w:hAnsi="方正小标宋_GBK" w:eastAsia="方正小标宋_GBK" w:cs="方正小标宋_GBK"/>
          <w:sz w:val="70"/>
          <w:szCs w:val="70"/>
          <w:lang w:eastAsia="zh-CN"/>
        </w:rPr>
      </w:pPr>
    </w:p>
    <w:p w14:paraId="0812AB0E">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2AC969E5">
      <w:pPr>
        <w:ind w:firstLine="640" w:firstLineChars="200"/>
        <w:jc w:val="left"/>
        <w:rPr>
          <w:rFonts w:hint="eastAsia" w:ascii="宋体" w:hAnsi="宋体" w:eastAsia="宋体" w:cs="黑体"/>
          <w:b/>
          <w:color w:val="000000"/>
          <w:kern w:val="0"/>
          <w:sz w:val="32"/>
          <w:szCs w:val="32"/>
          <w:lang w:val="en-US" w:eastAsia="zh-CN"/>
        </w:rPr>
      </w:pPr>
    </w:p>
    <w:p w14:paraId="387A00FD">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77BD2262">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3F0CFFC1"/>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A24E81"/>
    <w:rsid w:val="0414541A"/>
    <w:rsid w:val="04F548E2"/>
    <w:rsid w:val="05222B90"/>
    <w:rsid w:val="059958AD"/>
    <w:rsid w:val="06C857E7"/>
    <w:rsid w:val="06F21187"/>
    <w:rsid w:val="07174C5C"/>
    <w:rsid w:val="08C24A73"/>
    <w:rsid w:val="0A115B97"/>
    <w:rsid w:val="0BB87FE9"/>
    <w:rsid w:val="0BC6296B"/>
    <w:rsid w:val="0DB4109F"/>
    <w:rsid w:val="0ECB05F4"/>
    <w:rsid w:val="0F451083"/>
    <w:rsid w:val="0F5E0ACE"/>
    <w:rsid w:val="10F51AB3"/>
    <w:rsid w:val="111D4066"/>
    <w:rsid w:val="11486765"/>
    <w:rsid w:val="124D2729"/>
    <w:rsid w:val="12583BA5"/>
    <w:rsid w:val="13445AAB"/>
    <w:rsid w:val="136234C0"/>
    <w:rsid w:val="13BA5B9C"/>
    <w:rsid w:val="141D375F"/>
    <w:rsid w:val="14EF65C6"/>
    <w:rsid w:val="15140A3C"/>
    <w:rsid w:val="15DE47E0"/>
    <w:rsid w:val="17BB323B"/>
    <w:rsid w:val="17DC5766"/>
    <w:rsid w:val="18786866"/>
    <w:rsid w:val="18954BAA"/>
    <w:rsid w:val="18DC3653"/>
    <w:rsid w:val="19B22502"/>
    <w:rsid w:val="19E27888"/>
    <w:rsid w:val="1A3D552A"/>
    <w:rsid w:val="1A7F7E63"/>
    <w:rsid w:val="1CCE32EC"/>
    <w:rsid w:val="1D97DEFF"/>
    <w:rsid w:val="1DFF72E5"/>
    <w:rsid w:val="1EFC6F07"/>
    <w:rsid w:val="1F0527A6"/>
    <w:rsid w:val="1FDF2C30"/>
    <w:rsid w:val="2163106E"/>
    <w:rsid w:val="22437980"/>
    <w:rsid w:val="22AC03C2"/>
    <w:rsid w:val="22F43280"/>
    <w:rsid w:val="23713D9D"/>
    <w:rsid w:val="23D17DC4"/>
    <w:rsid w:val="24157B58"/>
    <w:rsid w:val="25485B4A"/>
    <w:rsid w:val="26681488"/>
    <w:rsid w:val="285422E6"/>
    <w:rsid w:val="29051F39"/>
    <w:rsid w:val="2A6843C4"/>
    <w:rsid w:val="2A92046A"/>
    <w:rsid w:val="2AAE7AB1"/>
    <w:rsid w:val="2ABC3038"/>
    <w:rsid w:val="2E514EF7"/>
    <w:rsid w:val="2F5179A1"/>
    <w:rsid w:val="2FDF85B8"/>
    <w:rsid w:val="2FFFEE04"/>
    <w:rsid w:val="304A524D"/>
    <w:rsid w:val="30FD34B3"/>
    <w:rsid w:val="31C95635"/>
    <w:rsid w:val="324E1F59"/>
    <w:rsid w:val="33356B95"/>
    <w:rsid w:val="34DF85B0"/>
    <w:rsid w:val="372B732F"/>
    <w:rsid w:val="392C1D74"/>
    <w:rsid w:val="39F916C0"/>
    <w:rsid w:val="3B8F36BC"/>
    <w:rsid w:val="3D33564C"/>
    <w:rsid w:val="3DE85D9F"/>
    <w:rsid w:val="3EA7433C"/>
    <w:rsid w:val="3F213B83"/>
    <w:rsid w:val="42200C54"/>
    <w:rsid w:val="428739CE"/>
    <w:rsid w:val="48A25794"/>
    <w:rsid w:val="491FF225"/>
    <w:rsid w:val="496A2039"/>
    <w:rsid w:val="4A821143"/>
    <w:rsid w:val="4AF8654A"/>
    <w:rsid w:val="4C2F5430"/>
    <w:rsid w:val="4E4C3BD7"/>
    <w:rsid w:val="4EAD7816"/>
    <w:rsid w:val="4FFD214C"/>
    <w:rsid w:val="50146059"/>
    <w:rsid w:val="51570432"/>
    <w:rsid w:val="51B45A68"/>
    <w:rsid w:val="5352765A"/>
    <w:rsid w:val="535541AB"/>
    <w:rsid w:val="545E17CF"/>
    <w:rsid w:val="54994CF6"/>
    <w:rsid w:val="557E5D22"/>
    <w:rsid w:val="564F4F74"/>
    <w:rsid w:val="57087CD4"/>
    <w:rsid w:val="572D1984"/>
    <w:rsid w:val="5777D4F5"/>
    <w:rsid w:val="59DD8326"/>
    <w:rsid w:val="5CB122BE"/>
    <w:rsid w:val="5D6D442A"/>
    <w:rsid w:val="5D9D44EA"/>
    <w:rsid w:val="5DEF592A"/>
    <w:rsid w:val="5FC6BB1E"/>
    <w:rsid w:val="5FF720F1"/>
    <w:rsid w:val="6028345A"/>
    <w:rsid w:val="60331883"/>
    <w:rsid w:val="64867A4F"/>
    <w:rsid w:val="658D78E4"/>
    <w:rsid w:val="67FF5C0B"/>
    <w:rsid w:val="6B06502A"/>
    <w:rsid w:val="6B981494"/>
    <w:rsid w:val="6BAA4A2F"/>
    <w:rsid w:val="6BE272A9"/>
    <w:rsid w:val="6D7B14D1"/>
    <w:rsid w:val="6D8B0522"/>
    <w:rsid w:val="6E0072C7"/>
    <w:rsid w:val="6EFC0924"/>
    <w:rsid w:val="6FB74722"/>
    <w:rsid w:val="6FEF8B7E"/>
    <w:rsid w:val="700D53AB"/>
    <w:rsid w:val="70CD606E"/>
    <w:rsid w:val="71A6591B"/>
    <w:rsid w:val="722F3AB1"/>
    <w:rsid w:val="737D59BA"/>
    <w:rsid w:val="737F32B1"/>
    <w:rsid w:val="74EF59B8"/>
    <w:rsid w:val="74F17E67"/>
    <w:rsid w:val="75602650"/>
    <w:rsid w:val="758B02BC"/>
    <w:rsid w:val="75C6554C"/>
    <w:rsid w:val="778F65F9"/>
    <w:rsid w:val="77C37683"/>
    <w:rsid w:val="77E5280B"/>
    <w:rsid w:val="782E0265"/>
    <w:rsid w:val="79FF515B"/>
    <w:rsid w:val="7B14665D"/>
    <w:rsid w:val="7E085643"/>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8691</Words>
  <Characters>9460</Characters>
  <Lines>63</Lines>
  <Paragraphs>18</Paragraphs>
  <TotalTime>0</TotalTime>
  <ScaleCrop>false</ScaleCrop>
  <LinksUpToDate>false</LinksUpToDate>
  <CharactersWithSpaces>9470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2025-08-25T07:01:28Z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98623D6660B449428EB8E073C6C952EA</vt:lpwstr>
  </property>
  <property fmtid="{D5CDD505-2E9C-101B-9397-08002B2CF9AE}" pid="4" name="KSOTemplateDocerSaveRecord">
    <vt:lpwstr>eyJoZGlkIjoiNjgxZmIyZGM1NjlmYzFmNTczZGVkNWYyNWIwMGFjMmUiLCJ1c2VySWQiOiIyOTMyNjEyNDMifQ==</vt:lpwstr>
  </property>
</Properties>
</file>